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B04861" w14:textId="09C4B54D" w:rsidR="00F110CD" w:rsidRPr="009977DA" w:rsidRDefault="00F110CD" w:rsidP="00F110CD">
      <w:pPr>
        <w:pStyle w:val="Header"/>
        <w:tabs>
          <w:tab w:val="right" w:pos="9639"/>
        </w:tabs>
        <w:rPr>
          <w:sz w:val="24"/>
          <w:szCs w:val="24"/>
          <w:lang w:val="de-DE"/>
        </w:rPr>
      </w:pPr>
      <w:bookmarkStart w:id="0" w:name="_Hlk37418177"/>
      <w:r w:rsidRPr="009977DA">
        <w:rPr>
          <w:bCs/>
          <w:noProof w:val="0"/>
          <w:sz w:val="24"/>
          <w:szCs w:val="24"/>
          <w:lang w:val="de-DE"/>
        </w:rPr>
        <w:t>3GPP TSG RA</w:t>
      </w:r>
      <w:r w:rsidR="00BA1872" w:rsidRPr="009977DA">
        <w:rPr>
          <w:bCs/>
          <w:noProof w:val="0"/>
          <w:sz w:val="24"/>
          <w:szCs w:val="24"/>
          <w:lang w:val="de-DE"/>
        </w:rPr>
        <w:t xml:space="preserve">N WG1 </w:t>
      </w:r>
      <w:r w:rsidR="00B65452" w:rsidRPr="009977DA">
        <w:rPr>
          <w:bCs/>
          <w:noProof w:val="0"/>
          <w:sz w:val="24"/>
          <w:szCs w:val="24"/>
          <w:lang w:val="de-DE"/>
        </w:rPr>
        <w:t>#</w:t>
      </w:r>
      <w:r w:rsidR="005402C7" w:rsidRPr="009977DA">
        <w:rPr>
          <w:bCs/>
          <w:noProof w:val="0"/>
          <w:sz w:val="24"/>
          <w:szCs w:val="24"/>
          <w:lang w:val="de-DE"/>
        </w:rPr>
        <w:t>11</w:t>
      </w:r>
      <w:r w:rsidR="005402C7">
        <w:rPr>
          <w:bCs/>
          <w:noProof w:val="0"/>
          <w:sz w:val="24"/>
          <w:szCs w:val="24"/>
          <w:lang w:val="de-DE"/>
        </w:rPr>
        <w:t>4</w:t>
      </w:r>
      <w:r w:rsidR="001348FE" w:rsidRPr="009977DA">
        <w:rPr>
          <w:bCs/>
          <w:noProof w:val="0"/>
          <w:sz w:val="24"/>
          <w:szCs w:val="24"/>
          <w:lang w:val="de-DE"/>
        </w:rPr>
        <w:tab/>
      </w:r>
      <w:r w:rsidR="007023A7" w:rsidRPr="009977DA">
        <w:rPr>
          <w:sz w:val="24"/>
          <w:szCs w:val="24"/>
          <w:lang w:val="de-DE"/>
        </w:rPr>
        <w:t>R1-</w:t>
      </w:r>
      <w:r w:rsidR="008B3D5B">
        <w:rPr>
          <w:sz w:val="24"/>
          <w:szCs w:val="24"/>
          <w:lang w:val="de-DE"/>
        </w:rPr>
        <w:t>2306875</w:t>
      </w:r>
    </w:p>
    <w:p w14:paraId="30E02940" w14:textId="3E83DEEC" w:rsidR="00CA26CE" w:rsidRDefault="005402C7" w:rsidP="00CA26CE">
      <w:pPr>
        <w:pStyle w:val="Header"/>
        <w:rPr>
          <w:bCs/>
          <w:noProof w:val="0"/>
          <w:sz w:val="24"/>
          <w:szCs w:val="24"/>
        </w:rPr>
      </w:pPr>
      <w:r>
        <w:rPr>
          <w:bCs/>
          <w:noProof w:val="0"/>
          <w:sz w:val="24"/>
          <w:szCs w:val="24"/>
        </w:rPr>
        <w:t>Toulouse</w:t>
      </w:r>
      <w:r w:rsidR="008A31A4" w:rsidRPr="009977DA">
        <w:rPr>
          <w:bCs/>
          <w:noProof w:val="0"/>
          <w:sz w:val="24"/>
          <w:szCs w:val="24"/>
        </w:rPr>
        <w:t xml:space="preserve">, </w:t>
      </w:r>
      <w:r>
        <w:rPr>
          <w:bCs/>
          <w:noProof w:val="0"/>
          <w:sz w:val="24"/>
          <w:szCs w:val="24"/>
        </w:rPr>
        <w:t>France</w:t>
      </w:r>
      <w:r w:rsidR="006A60AC" w:rsidRPr="009977DA">
        <w:rPr>
          <w:sz w:val="24"/>
          <w:szCs w:val="24"/>
        </w:rPr>
        <w:t xml:space="preserve">, </w:t>
      </w:r>
      <w:r>
        <w:rPr>
          <w:sz w:val="24"/>
          <w:szCs w:val="24"/>
        </w:rPr>
        <w:t>August 21-25</w:t>
      </w:r>
      <w:r w:rsidR="005D1AF1" w:rsidRPr="009977DA">
        <w:rPr>
          <w:sz w:val="24"/>
          <w:szCs w:val="24"/>
        </w:rPr>
        <w:t>,</w:t>
      </w:r>
      <w:r w:rsidR="00382B3B" w:rsidRPr="009977DA">
        <w:rPr>
          <w:sz w:val="24"/>
          <w:szCs w:val="24"/>
        </w:rPr>
        <w:t xml:space="preserve"> </w:t>
      </w:r>
      <w:r w:rsidR="004B6279" w:rsidRPr="009977DA">
        <w:rPr>
          <w:sz w:val="24"/>
          <w:szCs w:val="24"/>
        </w:rPr>
        <w:t>2023</w:t>
      </w:r>
    </w:p>
    <w:bookmarkEnd w:id="0"/>
    <w:p w14:paraId="2CFE1919" w14:textId="77777777" w:rsidR="00850D96" w:rsidRPr="00850D96" w:rsidRDefault="00850D96" w:rsidP="00CA26CE">
      <w:pPr>
        <w:pStyle w:val="Header"/>
        <w:rPr>
          <w:bCs/>
          <w:noProof w:val="0"/>
          <w:sz w:val="24"/>
          <w:lang w:val="en-GB" w:eastAsia="ja-JP"/>
        </w:rPr>
      </w:pPr>
    </w:p>
    <w:p w14:paraId="30E02941" w14:textId="5423EBE4"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1800A3">
        <w:rPr>
          <w:rFonts w:cs="Arial"/>
          <w:b/>
          <w:bCs/>
          <w:sz w:val="24"/>
          <w:szCs w:val="24"/>
        </w:rPr>
        <w:t>9</w:t>
      </w:r>
      <w:r w:rsidR="001F201D">
        <w:rPr>
          <w:rFonts w:cs="Arial"/>
          <w:b/>
          <w:bCs/>
          <w:sz w:val="24"/>
          <w:szCs w:val="24"/>
        </w:rPr>
        <w:t>.</w:t>
      </w:r>
      <w:r w:rsidR="001800A3">
        <w:rPr>
          <w:rFonts w:cs="Arial"/>
          <w:b/>
          <w:bCs/>
          <w:sz w:val="24"/>
          <w:szCs w:val="24"/>
        </w:rPr>
        <w:t>3.2</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5AB8DEBC" w:rsidR="0034111C" w:rsidRPr="001800A3" w:rsidRDefault="0034111C" w:rsidP="001800A3">
      <w:pPr>
        <w:ind w:left="1985" w:hanging="1985"/>
        <w:rPr>
          <w:rFonts w:ascii="Arial" w:hAnsi="Arial" w:cs="Arial"/>
          <w:b/>
          <w:lang w:val="en-US"/>
        </w:rPr>
      </w:pPr>
      <w:r w:rsidRPr="3E61DC49">
        <w:rPr>
          <w:rFonts w:ascii="Arial" w:hAnsi="Arial" w:cs="Arial"/>
          <w:b/>
          <w:bCs/>
          <w:sz w:val="24"/>
          <w:szCs w:val="24"/>
        </w:rPr>
        <w:t>Title:</w:t>
      </w:r>
      <w:r w:rsidRPr="0016316A">
        <w:rPr>
          <w:rFonts w:ascii="Arial" w:hAnsi="Arial" w:cs="Arial"/>
          <w:b/>
          <w:bCs/>
          <w:sz w:val="24"/>
        </w:rPr>
        <w:tab/>
      </w:r>
      <w:r w:rsidR="001800A3" w:rsidRPr="001800A3">
        <w:rPr>
          <w:rFonts w:ascii="Arial" w:hAnsi="Arial" w:cs="Arial"/>
          <w:b/>
          <w:sz w:val="24"/>
          <w:szCs w:val="24"/>
          <w:lang w:val="en-US"/>
        </w:rPr>
        <w:t>On subband non-overlapping full duplex for NR</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bookmarkStart w:id="1" w:name="_Ref134976538"/>
      <w:r w:rsidRPr="0016316A">
        <w:t>Introduction</w:t>
      </w:r>
      <w:bookmarkEnd w:id="1"/>
    </w:p>
    <w:p w14:paraId="71AC0516" w14:textId="77777777" w:rsidR="001800A3" w:rsidRPr="007A1544" w:rsidRDefault="001800A3" w:rsidP="001800A3">
      <w:pPr>
        <w:spacing w:after="120"/>
        <w:jc w:val="both"/>
        <w:rPr>
          <w:lang w:val="en-US"/>
        </w:rPr>
      </w:pPr>
      <w:bookmarkStart w:id="2" w:name="_Hlk510705081"/>
      <w:r w:rsidRPr="007A1544">
        <w:rPr>
          <w:lang w:val="en-US"/>
        </w:rPr>
        <w:t>RAN has agreed a new Rel-18 Study Item on Evolution of NR Duplex Operation with the following objectives [1]:</w:t>
      </w:r>
    </w:p>
    <w:tbl>
      <w:tblPr>
        <w:tblStyle w:val="TableGrid"/>
        <w:tblW w:w="0" w:type="auto"/>
        <w:tblLook w:val="04A0" w:firstRow="1" w:lastRow="0" w:firstColumn="1" w:lastColumn="0" w:noHBand="0" w:noVBand="1"/>
      </w:tblPr>
      <w:tblGrid>
        <w:gridCol w:w="9629"/>
      </w:tblGrid>
      <w:tr w:rsidR="001800A3" w:rsidRPr="00F352E5" w14:paraId="5359E4B2" w14:textId="77777777" w:rsidTr="0035054F">
        <w:tc>
          <w:tcPr>
            <w:tcW w:w="9629" w:type="dxa"/>
          </w:tcPr>
          <w:p w14:paraId="6F4C02D1" w14:textId="77777777" w:rsidR="001800A3" w:rsidRPr="007A1544" w:rsidRDefault="001800A3" w:rsidP="0035054F">
            <w:pPr>
              <w:ind w:right="-99"/>
              <w:jc w:val="both"/>
              <w:rPr>
                <w:bCs/>
                <w:lang w:val="en-US" w:eastAsia="ko-KR"/>
              </w:rPr>
            </w:pPr>
            <w:r w:rsidRPr="007A1544">
              <w:rPr>
                <w:bCs/>
                <w:lang w:val="en-US" w:eastAsia="ko-KR"/>
              </w:rPr>
              <w:t>The detailed objectives are as follows:</w:t>
            </w:r>
          </w:p>
          <w:p w14:paraId="5215066F" w14:textId="77777777" w:rsidR="001800A3" w:rsidRPr="007A1544" w:rsidRDefault="001800A3" w:rsidP="00B406BA">
            <w:pPr>
              <w:numPr>
                <w:ilvl w:val="0"/>
                <w:numId w:val="6"/>
              </w:numPr>
              <w:overflowPunct/>
              <w:autoSpaceDE/>
              <w:autoSpaceDN/>
              <w:adjustRightInd/>
              <w:spacing w:after="0"/>
              <w:jc w:val="both"/>
              <w:textAlignment w:val="auto"/>
              <w:rPr>
                <w:lang w:val="en-US"/>
              </w:rPr>
            </w:pPr>
            <w:r w:rsidRPr="007A1544">
              <w:rPr>
                <w:lang w:val="en-US"/>
              </w:rPr>
              <w:t>Identify applicable and relevant deployment scenarios (RAN1).</w:t>
            </w:r>
          </w:p>
          <w:p w14:paraId="0BA4A991" w14:textId="77777777" w:rsidR="001800A3" w:rsidRPr="007A1544" w:rsidRDefault="001800A3" w:rsidP="00B406BA">
            <w:pPr>
              <w:numPr>
                <w:ilvl w:val="0"/>
                <w:numId w:val="6"/>
              </w:numPr>
              <w:overflowPunct/>
              <w:autoSpaceDE/>
              <w:autoSpaceDN/>
              <w:adjustRightInd/>
              <w:spacing w:after="0"/>
              <w:jc w:val="both"/>
              <w:textAlignment w:val="auto"/>
              <w:rPr>
                <w:lang w:val="en-US"/>
              </w:rPr>
            </w:pPr>
            <w:r w:rsidRPr="007A1544">
              <w:rPr>
                <w:lang w:val="en-US"/>
              </w:rPr>
              <w:t>Develop evaluation methodology for duplex enhancement (RAN1).</w:t>
            </w:r>
          </w:p>
          <w:p w14:paraId="4709DFF7" w14:textId="77777777" w:rsidR="001800A3" w:rsidRPr="007A1544" w:rsidRDefault="001800A3" w:rsidP="00B406BA">
            <w:pPr>
              <w:numPr>
                <w:ilvl w:val="0"/>
                <w:numId w:val="6"/>
              </w:numPr>
              <w:overflowPunct/>
              <w:autoSpaceDE/>
              <w:autoSpaceDN/>
              <w:adjustRightInd/>
              <w:spacing w:after="0"/>
              <w:jc w:val="both"/>
              <w:textAlignment w:val="auto"/>
              <w:rPr>
                <w:lang w:val="en-US"/>
              </w:rPr>
            </w:pPr>
            <w:r w:rsidRPr="007A1544">
              <w:rPr>
                <w:rFonts w:eastAsia="Malgun Gothic"/>
                <w:lang w:val="en-US" w:eastAsia="ko-KR"/>
              </w:rPr>
              <w:t xml:space="preserve">Study the subband non-overlapping full duplex and </w:t>
            </w:r>
            <w:bookmarkStart w:id="3" w:name="_Hlk89796625"/>
            <w:r w:rsidRPr="007A1544">
              <w:rPr>
                <w:rFonts w:eastAsia="Malgun Gothic"/>
                <w:lang w:val="en-US" w:eastAsia="ko-KR"/>
              </w:rPr>
              <w:t xml:space="preserve">potential enhancements on </w:t>
            </w:r>
            <w:r w:rsidRPr="007A1544">
              <w:rPr>
                <w:rFonts w:eastAsia="Malgun Gothic"/>
                <w:bCs/>
                <w:lang w:val="en-US" w:eastAsia="ko-KR"/>
              </w:rPr>
              <w:t>dynamic/flexible TDD</w:t>
            </w:r>
            <w:bookmarkEnd w:id="3"/>
            <w:r w:rsidRPr="007A1544">
              <w:rPr>
                <w:rFonts w:eastAsia="Malgun Gothic"/>
                <w:bCs/>
                <w:lang w:val="en-US" w:eastAsia="ko-KR"/>
              </w:rPr>
              <w:t xml:space="preserve"> (RAN1, RAN4).</w:t>
            </w:r>
          </w:p>
          <w:p w14:paraId="60E1DAB9" w14:textId="77777777" w:rsidR="001800A3" w:rsidRPr="007A1544" w:rsidRDefault="001800A3" w:rsidP="00B406BA">
            <w:pPr>
              <w:pStyle w:val="ListParagraph"/>
              <w:numPr>
                <w:ilvl w:val="0"/>
                <w:numId w:val="5"/>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Identify possible schemes and evaluate their feasibility and performances (RAN1).</w:t>
            </w:r>
          </w:p>
          <w:p w14:paraId="5390DCCC" w14:textId="77777777" w:rsidR="001800A3" w:rsidRPr="007A1544" w:rsidRDefault="001800A3" w:rsidP="00B406BA">
            <w:pPr>
              <w:pStyle w:val="ListParagraph"/>
              <w:numPr>
                <w:ilvl w:val="0"/>
                <w:numId w:val="5"/>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 xml:space="preserve">Study inter-gNB and inter-UE CLI handling and identify solutions to manage them (RAN1). </w:t>
            </w:r>
          </w:p>
          <w:p w14:paraId="77736608" w14:textId="77777777" w:rsidR="001800A3" w:rsidRPr="007A1544" w:rsidRDefault="001800A3" w:rsidP="00B406BA">
            <w:pPr>
              <w:pStyle w:val="ListParagraph"/>
              <w:numPr>
                <w:ilvl w:val="1"/>
                <w:numId w:val="5"/>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 xml:space="preserve">Consider intra-subband CLI and inter-subband CLI in case of the </w:t>
            </w:r>
            <w:r w:rsidRPr="007A1544">
              <w:rPr>
                <w:rFonts w:eastAsia="Malgun Gothic"/>
                <w:sz w:val="20"/>
                <w:szCs w:val="20"/>
                <w:lang w:val="en-US" w:eastAsia="ko-KR"/>
              </w:rPr>
              <w:t>subband non-overlapping full duplex</w:t>
            </w:r>
            <w:r w:rsidRPr="007A1544">
              <w:rPr>
                <w:rFonts w:eastAsia="Malgun Gothic"/>
                <w:bCs/>
                <w:sz w:val="20"/>
                <w:szCs w:val="20"/>
                <w:lang w:val="en-US" w:eastAsia="ko-KR"/>
              </w:rPr>
              <w:t>.</w:t>
            </w:r>
          </w:p>
          <w:p w14:paraId="211E3EA3" w14:textId="77777777" w:rsidR="001800A3" w:rsidRPr="007A1544" w:rsidRDefault="001800A3" w:rsidP="00B406BA">
            <w:pPr>
              <w:pStyle w:val="ListParagraph"/>
              <w:numPr>
                <w:ilvl w:val="0"/>
                <w:numId w:val="5"/>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Study the performance of the identified schemes as well as the impact on legacy operation assuming their co-existence in co-channel and adjacent channels (RAN1).</w:t>
            </w:r>
          </w:p>
          <w:p w14:paraId="2055C543" w14:textId="77777777" w:rsidR="001800A3" w:rsidRPr="007A1544" w:rsidRDefault="001800A3" w:rsidP="00B406BA">
            <w:pPr>
              <w:pStyle w:val="ListParagraph"/>
              <w:numPr>
                <w:ilvl w:val="0"/>
                <w:numId w:val="5"/>
              </w:numPr>
              <w:overflowPunct w:val="0"/>
              <w:autoSpaceDE w:val="0"/>
              <w:autoSpaceDN w:val="0"/>
              <w:adjustRightInd w:val="0"/>
              <w:spacing w:after="180"/>
              <w:textAlignment w:val="baseline"/>
              <w:rPr>
                <w:rFonts w:eastAsia="Malgun Gothic"/>
                <w:bCs/>
                <w:sz w:val="20"/>
                <w:szCs w:val="20"/>
                <w:lang w:val="en-US" w:eastAsia="ko-KR"/>
              </w:rPr>
            </w:pPr>
            <w:r w:rsidRPr="007A1544">
              <w:rPr>
                <w:rFonts w:eastAsia="Malgun Gothic"/>
                <w:bCs/>
                <w:sz w:val="20"/>
                <w:szCs w:val="20"/>
                <w:lang w:val="en-US" w:eastAsia="ko-KR"/>
              </w:rPr>
              <w:t>Study the feasibility of and impact on RF requirements considering adjacent-channel co-existence with the legacy operation (RAN4).</w:t>
            </w:r>
          </w:p>
          <w:p w14:paraId="157D7136" w14:textId="77777777" w:rsidR="001800A3" w:rsidRPr="007A1544" w:rsidRDefault="001800A3" w:rsidP="00B406BA">
            <w:pPr>
              <w:pStyle w:val="ListParagraph"/>
              <w:numPr>
                <w:ilvl w:val="0"/>
                <w:numId w:val="5"/>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Study the feasibility of and impact on RF requirements considering the self-interference, the inter-subband CLI, and the inter-operator CLI at gNB and the inter-subband CLI and inter-operator CLI at UE (RAN4).</w:t>
            </w:r>
          </w:p>
          <w:p w14:paraId="086CDE3E" w14:textId="77777777" w:rsidR="001800A3" w:rsidRPr="007A1544" w:rsidRDefault="001800A3" w:rsidP="00B406BA">
            <w:pPr>
              <w:pStyle w:val="ListParagraph"/>
              <w:numPr>
                <w:ilvl w:val="0"/>
                <w:numId w:val="7"/>
              </w:numPr>
              <w:overflowPunct w:val="0"/>
              <w:autoSpaceDE w:val="0"/>
              <w:autoSpaceDN w:val="0"/>
              <w:adjustRightInd w:val="0"/>
              <w:spacing w:after="180"/>
              <w:jc w:val="both"/>
              <w:textAlignment w:val="baseline"/>
              <w:rPr>
                <w:rFonts w:eastAsia="Malgun Gothic"/>
                <w:bCs/>
                <w:sz w:val="20"/>
                <w:szCs w:val="20"/>
                <w:lang w:val="en-US" w:eastAsia="ko-KR"/>
              </w:rPr>
            </w:pPr>
            <w:r w:rsidRPr="007A1544">
              <w:rPr>
                <w:rFonts w:eastAsia="Malgun Gothic"/>
                <w:bCs/>
                <w:sz w:val="20"/>
                <w:szCs w:val="20"/>
                <w:lang w:val="en-US" w:eastAsia="ko-KR"/>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7A1544">
              <w:rPr>
                <w:rFonts w:eastAsia="Malgun Gothic"/>
                <w:bCs/>
                <w:sz w:val="20"/>
                <w:szCs w:val="20"/>
                <w:lang w:val="en-US" w:eastAsia="ko-KR"/>
              </w:rPr>
              <w:t>filtering</w:t>
            </w:r>
            <w:proofErr w:type="gramEnd"/>
            <w:r w:rsidRPr="007A1544">
              <w:rPr>
                <w:rFonts w:eastAsia="Malgun Gothic"/>
                <w:bCs/>
                <w:sz w:val="20"/>
                <w:szCs w:val="20"/>
                <w:lang w:val="en-US" w:eastAsia="ko-KR"/>
              </w:rPr>
              <w:t xml:space="preserve"> and digital interference suppression.</w:t>
            </w:r>
          </w:p>
          <w:p w14:paraId="539697C9" w14:textId="77777777" w:rsidR="001800A3" w:rsidRPr="007A1544" w:rsidRDefault="001800A3" w:rsidP="00B406BA">
            <w:pPr>
              <w:pStyle w:val="ListParagraph"/>
              <w:numPr>
                <w:ilvl w:val="0"/>
                <w:numId w:val="7"/>
              </w:numPr>
              <w:overflowPunct w:val="0"/>
              <w:autoSpaceDE w:val="0"/>
              <w:autoSpaceDN w:val="0"/>
              <w:adjustRightInd w:val="0"/>
              <w:spacing w:after="180"/>
              <w:jc w:val="both"/>
              <w:textAlignment w:val="baseline"/>
              <w:rPr>
                <w:sz w:val="20"/>
                <w:szCs w:val="20"/>
                <w:lang w:val="en-US"/>
              </w:rPr>
            </w:pPr>
            <w:r w:rsidRPr="007A1544">
              <w:rPr>
                <w:sz w:val="20"/>
                <w:szCs w:val="20"/>
                <w:lang w:val="en-US"/>
              </w:rPr>
              <w:t xml:space="preserve">Summarize the regulatory aspects that </w:t>
            </w:r>
            <w:proofErr w:type="gramStart"/>
            <w:r w:rsidRPr="007A1544">
              <w:rPr>
                <w:sz w:val="20"/>
                <w:szCs w:val="20"/>
                <w:lang w:val="en-US"/>
              </w:rPr>
              <w:t>have to</w:t>
            </w:r>
            <w:proofErr w:type="gramEnd"/>
            <w:r w:rsidRPr="007A1544">
              <w:rPr>
                <w:sz w:val="20"/>
                <w:szCs w:val="20"/>
                <w:lang w:val="en-US"/>
              </w:rPr>
              <w:t xml:space="preserve"> be considered for deploying the identified duplex enhancements in TDD unpaired spectrum (RAN4).</w:t>
            </w:r>
          </w:p>
          <w:p w14:paraId="5349DAC0" w14:textId="77777777" w:rsidR="001800A3" w:rsidRPr="008E567A" w:rsidRDefault="001800A3" w:rsidP="0035054F">
            <w:pPr>
              <w:rPr>
                <w:lang w:val="en-US"/>
              </w:rPr>
            </w:pPr>
            <w:r w:rsidRPr="007A1544">
              <w:rPr>
                <w:rFonts w:eastAsia="Malgun Gothic"/>
                <w:bCs/>
                <w:lang w:val="en-US" w:eastAsia="ko-KR"/>
              </w:rPr>
              <w:t>Note: For potential enhancements on dynamic/flexible TDD, utilize the outcome of discussion in Rel-15 and Rel-16 while avoiding the repetition of the same discussion.</w:t>
            </w:r>
          </w:p>
        </w:tc>
      </w:tr>
    </w:tbl>
    <w:p w14:paraId="11CC5F90" w14:textId="497973CD" w:rsidR="001800A3" w:rsidRPr="00E4058F" w:rsidRDefault="001800A3" w:rsidP="001800A3">
      <w:pPr>
        <w:spacing w:before="240"/>
        <w:jc w:val="both"/>
        <w:rPr>
          <w:lang w:val="en-US"/>
        </w:rPr>
      </w:pPr>
      <w:r w:rsidRPr="00E4058F">
        <w:rPr>
          <w:lang w:val="en-US"/>
        </w:rPr>
        <w:t xml:space="preserve">In this contribution, we </w:t>
      </w:r>
      <w:r w:rsidR="00B406BA">
        <w:rPr>
          <w:lang w:val="en-US"/>
        </w:rPr>
        <w:t>discuss open issues</w:t>
      </w:r>
      <w:r w:rsidRPr="00E4058F">
        <w:rPr>
          <w:lang w:val="en-US"/>
        </w:rPr>
        <w:t xml:space="preserve"> related to subband non-overlapping full duplex </w:t>
      </w:r>
      <w:r w:rsidR="00B406BA">
        <w:rPr>
          <w:lang w:val="en-US"/>
        </w:rPr>
        <w:t>(SBFD)</w:t>
      </w:r>
      <w:r>
        <w:rPr>
          <w:lang w:val="en-US"/>
        </w:rPr>
        <w:t xml:space="preserve">. </w:t>
      </w:r>
      <w:r w:rsidR="00B406BA">
        <w:rPr>
          <w:lang w:val="en-US"/>
        </w:rPr>
        <w:t xml:space="preserve">The performance of SBFD </w:t>
      </w:r>
      <w:r w:rsidR="00347D02">
        <w:rPr>
          <w:lang w:val="en-US"/>
        </w:rPr>
        <w:t>is</w:t>
      </w:r>
      <w:r w:rsidR="007850B6">
        <w:rPr>
          <w:lang w:val="en-US"/>
        </w:rPr>
        <w:t xml:space="preserve"> </w:t>
      </w:r>
      <w:r w:rsidR="00B406BA">
        <w:rPr>
          <w:lang w:val="en-US"/>
        </w:rPr>
        <w:t>discussed in Section 2.1. Section 2.</w:t>
      </w:r>
      <w:r w:rsidR="00347D02">
        <w:rPr>
          <w:lang w:val="en-US"/>
        </w:rPr>
        <w:t xml:space="preserve">2 </w:t>
      </w:r>
      <w:r w:rsidR="00B406BA">
        <w:rPr>
          <w:lang w:val="en-US"/>
        </w:rPr>
        <w:t>includes system design considerations and our view on the enhancements required to enable optimized SBFD operation, also based on the discussions and agreements from previous RAN1 meetings</w:t>
      </w:r>
      <w:r w:rsidR="00BA2C14">
        <w:rPr>
          <w:lang w:val="en-US"/>
        </w:rPr>
        <w:t>.</w:t>
      </w:r>
      <w:r w:rsidR="0075280F">
        <w:rPr>
          <w:lang w:val="en-US"/>
        </w:rPr>
        <w:t xml:space="preserve"> </w:t>
      </w:r>
      <w:r w:rsidR="00B406BA">
        <w:rPr>
          <w:lang w:val="en-US"/>
        </w:rPr>
        <w:t>Finally, our proposal</w:t>
      </w:r>
      <w:r w:rsidR="0078078F">
        <w:rPr>
          <w:lang w:val="en-US"/>
        </w:rPr>
        <w:t>s</w:t>
      </w:r>
      <w:r w:rsidR="00B406BA">
        <w:rPr>
          <w:lang w:val="en-US"/>
        </w:rPr>
        <w:t xml:space="preserve"> and observations are summarized in Section 3.  </w:t>
      </w:r>
    </w:p>
    <w:p w14:paraId="71230483" w14:textId="54382B5D" w:rsidR="00305297" w:rsidRDefault="007820D0" w:rsidP="00A23DCA">
      <w:pPr>
        <w:pStyle w:val="Heading1"/>
      </w:pPr>
      <w:r>
        <w:t>Discussion</w:t>
      </w:r>
    </w:p>
    <w:p w14:paraId="5C50813C" w14:textId="000854DA" w:rsidR="00F10EA4" w:rsidRDefault="00F10EA4" w:rsidP="00F10EA4">
      <w:pPr>
        <w:pStyle w:val="Heading2"/>
      </w:pPr>
      <w:r>
        <w:t>SBFD performance</w:t>
      </w:r>
    </w:p>
    <w:p w14:paraId="4C6E66C9" w14:textId="61E0F17B" w:rsidR="00AA29B0" w:rsidRDefault="00AA08BD" w:rsidP="00CB5832">
      <w:pPr>
        <w:jc w:val="both"/>
        <w:rPr>
          <w:lang w:val="en-US"/>
        </w:rPr>
      </w:pPr>
      <w:r w:rsidRPr="00E4058F">
        <w:rPr>
          <w:lang w:val="en-US"/>
        </w:rPr>
        <w:t>Simulation results for</w:t>
      </w:r>
      <w:r>
        <w:rPr>
          <w:lang w:val="en-US"/>
        </w:rPr>
        <w:t xml:space="preserve"> co-channel FR1 Urban Macro (</w:t>
      </w:r>
      <w:proofErr w:type="spellStart"/>
      <w:r>
        <w:rPr>
          <w:lang w:val="en-US"/>
        </w:rPr>
        <w:t>UMa</w:t>
      </w:r>
      <w:proofErr w:type="spellEnd"/>
      <w:r>
        <w:rPr>
          <w:lang w:val="en-US"/>
        </w:rPr>
        <w:t>) and FR1</w:t>
      </w:r>
      <w:r w:rsidR="001E0DD9">
        <w:rPr>
          <w:lang w:val="en-US"/>
        </w:rPr>
        <w:t xml:space="preserve"> and FR2</w:t>
      </w:r>
      <w:r>
        <w:rPr>
          <w:lang w:val="en-US"/>
        </w:rPr>
        <w:t xml:space="preserve"> Indoor Office scenarios have been presented </w:t>
      </w:r>
      <w:r w:rsidR="00083F6A">
        <w:rPr>
          <w:lang w:val="en-US"/>
        </w:rPr>
        <w:t xml:space="preserve">in </w:t>
      </w:r>
      <w:r w:rsidR="00403396">
        <w:rPr>
          <w:lang w:val="en-US"/>
        </w:rPr>
        <w:t>detail</w:t>
      </w:r>
      <w:r w:rsidR="00083F6A">
        <w:rPr>
          <w:lang w:val="en-US"/>
        </w:rPr>
        <w:t xml:space="preserve"> in our companion </w:t>
      </w:r>
      <w:r w:rsidR="00083F6A" w:rsidRPr="00D46F22">
        <w:rPr>
          <w:lang w:val="en-US"/>
        </w:rPr>
        <w:t>contribution</w:t>
      </w:r>
      <w:r w:rsidR="003E6CEF" w:rsidRPr="00D46F22">
        <w:rPr>
          <w:lang w:val="en-US"/>
        </w:rPr>
        <w:t xml:space="preserve"> </w:t>
      </w:r>
      <w:r w:rsidR="001003CC" w:rsidRPr="00D46F22">
        <w:rPr>
          <w:lang w:val="en-US"/>
        </w:rPr>
        <w:t>R1-</w:t>
      </w:r>
      <w:r w:rsidR="00D46F22" w:rsidRPr="00D46F22">
        <w:rPr>
          <w:lang w:val="en-US"/>
        </w:rPr>
        <w:t>2306874</w:t>
      </w:r>
      <w:r w:rsidR="001003CC" w:rsidRPr="00D46F22">
        <w:rPr>
          <w:lang w:val="en-US"/>
        </w:rPr>
        <w:t xml:space="preserve"> </w:t>
      </w:r>
      <w:r w:rsidR="00C15552" w:rsidRPr="00D46F22">
        <w:rPr>
          <w:lang w:val="en-US"/>
        </w:rPr>
        <w:fldChar w:fldCharType="begin"/>
      </w:r>
      <w:r w:rsidR="00C15552" w:rsidRPr="00D46F22">
        <w:rPr>
          <w:lang w:val="en-US"/>
        </w:rPr>
        <w:instrText xml:space="preserve"> REF _Ref134970240 \r \h </w:instrText>
      </w:r>
      <w:r w:rsidR="00D46F22">
        <w:rPr>
          <w:lang w:val="en-US"/>
        </w:rPr>
        <w:instrText xml:space="preserve"> \* MERGEFORMAT </w:instrText>
      </w:r>
      <w:r w:rsidR="00C15552" w:rsidRPr="00D46F22">
        <w:rPr>
          <w:lang w:val="en-US"/>
        </w:rPr>
      </w:r>
      <w:r w:rsidR="00C15552" w:rsidRPr="00D46F22">
        <w:rPr>
          <w:lang w:val="en-US"/>
        </w:rPr>
        <w:fldChar w:fldCharType="separate"/>
      </w:r>
      <w:r w:rsidR="00C15552" w:rsidRPr="00D46F22">
        <w:rPr>
          <w:lang w:val="en-US"/>
        </w:rPr>
        <w:t>[2]</w:t>
      </w:r>
      <w:r w:rsidR="00C15552" w:rsidRPr="00D46F22">
        <w:rPr>
          <w:lang w:val="en-US"/>
        </w:rPr>
        <w:fldChar w:fldCharType="end"/>
      </w:r>
      <w:r w:rsidR="00DB157A" w:rsidRPr="00D46F22">
        <w:rPr>
          <w:lang w:val="en-US"/>
        </w:rPr>
        <w:fldChar w:fldCharType="begin"/>
      </w:r>
      <w:r w:rsidR="00DB157A" w:rsidRPr="00D46F22">
        <w:rPr>
          <w:lang w:val="en-US"/>
        </w:rPr>
        <w:instrText xml:space="preserve"> REF _Ref131755174 \r \h </w:instrText>
      </w:r>
      <w:r w:rsidR="00D46F22">
        <w:rPr>
          <w:lang w:val="en-US"/>
        </w:rPr>
        <w:instrText xml:space="preserve"> \* MERGEFORMAT </w:instrText>
      </w:r>
      <w:r w:rsidR="00DB157A" w:rsidRPr="00D46F22">
        <w:rPr>
          <w:lang w:val="en-US"/>
        </w:rPr>
      </w:r>
      <w:r w:rsidR="006D080B">
        <w:rPr>
          <w:lang w:val="en-US"/>
        </w:rPr>
        <w:fldChar w:fldCharType="separate"/>
      </w:r>
      <w:r w:rsidR="00DB157A" w:rsidRPr="00D46F22">
        <w:rPr>
          <w:lang w:val="en-US"/>
        </w:rPr>
        <w:fldChar w:fldCharType="end"/>
      </w:r>
      <w:r w:rsidR="00965914" w:rsidRPr="00D46F22">
        <w:rPr>
          <w:lang w:val="en-US"/>
        </w:rPr>
        <w:t>.</w:t>
      </w:r>
      <w:r w:rsidR="00CE46C6">
        <w:rPr>
          <w:lang w:val="en-US"/>
        </w:rPr>
        <w:t xml:space="preserve"> The key simulation assumptions and observations are included below:</w:t>
      </w:r>
    </w:p>
    <w:p w14:paraId="7F38E47C" w14:textId="0081554B" w:rsidR="008605EE" w:rsidRPr="001C18DB" w:rsidRDefault="008605EE" w:rsidP="00CB5832">
      <w:pPr>
        <w:jc w:val="both"/>
        <w:rPr>
          <w:b/>
          <w:bCs/>
          <w:u w:val="single"/>
          <w:lang w:val="en-US"/>
        </w:rPr>
      </w:pPr>
      <w:r w:rsidRPr="001C18DB">
        <w:rPr>
          <w:b/>
          <w:bCs/>
          <w:u w:val="single"/>
          <w:lang w:val="en-US"/>
        </w:rPr>
        <w:t xml:space="preserve">FR1 </w:t>
      </w:r>
      <w:proofErr w:type="spellStart"/>
      <w:r w:rsidRPr="001C18DB">
        <w:rPr>
          <w:b/>
          <w:bCs/>
          <w:u w:val="single"/>
          <w:lang w:val="en-US"/>
        </w:rPr>
        <w:t>UMa</w:t>
      </w:r>
      <w:proofErr w:type="spellEnd"/>
    </w:p>
    <w:p w14:paraId="5FD07B19" w14:textId="4B7E2CB4" w:rsidR="0001546E" w:rsidRDefault="00403396" w:rsidP="00A61058">
      <w:pPr>
        <w:rPr>
          <w:lang w:val="en-US"/>
        </w:rPr>
      </w:pPr>
      <w:r>
        <w:rPr>
          <w:lang w:val="en-US"/>
        </w:rPr>
        <w:t xml:space="preserve">For FR1 </w:t>
      </w:r>
      <w:proofErr w:type="spellStart"/>
      <w:r>
        <w:rPr>
          <w:lang w:val="en-US"/>
        </w:rPr>
        <w:t>UMa</w:t>
      </w:r>
      <w:proofErr w:type="spellEnd"/>
      <w:r>
        <w:rPr>
          <w:lang w:val="en-US"/>
        </w:rPr>
        <w:t xml:space="preserve">, </w:t>
      </w:r>
      <w:r w:rsidR="00D57BEE">
        <w:rPr>
          <w:lang w:val="en-US"/>
        </w:rPr>
        <w:t xml:space="preserve">the simulations consider </w:t>
      </w:r>
      <w:r w:rsidR="0001546E" w:rsidRPr="002B6DA7">
        <w:rPr>
          <w:lang w:val="en-US"/>
        </w:rPr>
        <w:t>the agreements up to RAN WG1 #</w:t>
      </w:r>
      <w:r w:rsidR="005304FD" w:rsidRPr="002B6DA7">
        <w:rPr>
          <w:lang w:val="en-US"/>
        </w:rPr>
        <w:t>11</w:t>
      </w:r>
      <w:r w:rsidR="005304FD">
        <w:rPr>
          <w:lang w:val="en-US"/>
        </w:rPr>
        <w:t>3</w:t>
      </w:r>
      <w:r w:rsidR="0001546E" w:rsidRPr="002B6DA7">
        <w:rPr>
          <w:lang w:val="en-US"/>
        </w:rPr>
        <w:t xml:space="preserve"> meeting</w:t>
      </w:r>
      <w:r w:rsidR="00881CD6" w:rsidRPr="00881CD6">
        <w:rPr>
          <w:rStyle w:val="normaltextrun"/>
          <w:shd w:val="clear" w:color="auto" w:fill="FFFFFF"/>
          <w:lang w:val="en-US"/>
        </w:rPr>
        <w:t xml:space="preserve">. </w:t>
      </w:r>
      <w:r w:rsidR="0001546E" w:rsidRPr="002B6DA7">
        <w:rPr>
          <w:lang w:val="en-US"/>
        </w:rPr>
        <w:t>Deployment Case 1 is considered where one single operator is simulated and all the cells belonging to the operator use SBFD operation with the same SBFD subband configuration</w:t>
      </w:r>
      <w:r w:rsidR="0001546E">
        <w:rPr>
          <w:lang w:val=""/>
        </w:rPr>
        <w:t>.</w:t>
      </w:r>
      <w:r w:rsidR="00CE46C6">
        <w:rPr>
          <w:lang w:val=""/>
        </w:rPr>
        <w:t xml:space="preserve"> For the comparison between TDD, we considered a DDDSU frame configuration, and for SBFD, a XXXXX with X denoting a SBFD with </w:t>
      </w:r>
      <w:r w:rsidR="00CE46C6" w:rsidRPr="002B6DA7">
        <w:rPr>
          <w:lang w:val="en-US"/>
        </w:rPr>
        <w:t xml:space="preserve">~20% UL RBs; </w:t>
      </w:r>
      <w:r w:rsidR="00CE46C6">
        <w:rPr>
          <w:lang w:val="en-US"/>
        </w:rPr>
        <w:t>corresponding</w:t>
      </w:r>
      <w:r w:rsidR="00CE46C6" w:rsidRPr="002B6DA7">
        <w:rPr>
          <w:lang w:val="en-US"/>
        </w:rPr>
        <w:t xml:space="preserve"> to ‘Alt 4’ agreed by RAN1 where the goal is to have the same UL/DL resource ratio between Legacy TDD and SBFD</w:t>
      </w:r>
      <w:r w:rsidR="00CE46C6">
        <w:rPr>
          <w:lang w:val="en-US"/>
        </w:rPr>
        <w:t xml:space="preserve">. </w:t>
      </w:r>
      <w:r w:rsidR="00CE46C6" w:rsidRPr="00212598">
        <w:rPr>
          <w:lang w:val="en-US"/>
        </w:rPr>
        <w:t>With respect to gNB antenna configurations, an antenna array of (M, N, P, Mg, Ng) = (8, 8, 2, 1, 1) is assumed for TDD, while for SBFD we considered Opt</w:t>
      </w:r>
      <w:r w:rsidR="00CE46C6">
        <w:rPr>
          <w:lang w:val="en-US"/>
        </w:rPr>
        <w:t>ion</w:t>
      </w:r>
      <w:r w:rsidR="00CE46C6" w:rsidRPr="00212598">
        <w:rPr>
          <w:lang w:val="en-US"/>
        </w:rPr>
        <w:t xml:space="preserve"> 2 (</w:t>
      </w:r>
      <w:r w:rsidR="00CE46C6">
        <w:rPr>
          <w:lang w:val="en-US"/>
        </w:rPr>
        <w:t xml:space="preserve">twice area than TDD with same </w:t>
      </w:r>
      <w:proofErr w:type="spellStart"/>
      <w:r w:rsidR="00CE46C6">
        <w:rPr>
          <w:lang w:val="en-US"/>
        </w:rPr>
        <w:t>TxRUs</w:t>
      </w:r>
      <w:proofErr w:type="spellEnd"/>
      <w:r w:rsidR="00CE46C6" w:rsidRPr="00212598">
        <w:rPr>
          <w:lang w:val="en-US"/>
        </w:rPr>
        <w:t>) and Option 3 (</w:t>
      </w:r>
      <w:r w:rsidR="00CE46C6">
        <w:rPr>
          <w:lang w:val="en-US"/>
        </w:rPr>
        <w:t xml:space="preserve">same area than TDD with half </w:t>
      </w:r>
      <w:proofErr w:type="spellStart"/>
      <w:r w:rsidR="00CE46C6">
        <w:rPr>
          <w:lang w:val="en-US"/>
        </w:rPr>
        <w:t>TxRUs</w:t>
      </w:r>
      <w:proofErr w:type="spellEnd"/>
      <w:r w:rsidR="00CE46C6" w:rsidRPr="00212598">
        <w:rPr>
          <w:lang w:val="en-US"/>
        </w:rPr>
        <w:t>).</w:t>
      </w:r>
    </w:p>
    <w:p w14:paraId="268A0869" w14:textId="22F7F1AC" w:rsidR="00CE46C6" w:rsidRPr="002B6DA7" w:rsidRDefault="00CE46C6" w:rsidP="00CE46C6">
      <w:pPr>
        <w:spacing w:after="0"/>
        <w:jc w:val="both"/>
        <w:rPr>
          <w:lang w:val="en-US"/>
        </w:rPr>
      </w:pPr>
      <w:r>
        <w:rPr>
          <w:lang w:val="en-US"/>
        </w:rPr>
        <w:t xml:space="preserve">Regarding the </w:t>
      </w:r>
      <w:r w:rsidR="00112E7E">
        <w:rPr>
          <w:lang w:val="en-US"/>
        </w:rPr>
        <w:t xml:space="preserve">inter-sector </w:t>
      </w:r>
      <w:r>
        <w:rPr>
          <w:lang w:val="en-US"/>
        </w:rPr>
        <w:t>isolation</w:t>
      </w:r>
      <w:r w:rsidRPr="002B6DA7">
        <w:rPr>
          <w:lang w:val="en-US"/>
        </w:rPr>
        <w:t xml:space="preserve">, the following settings </w:t>
      </w:r>
      <w:r w:rsidR="00112E7E">
        <w:rPr>
          <w:lang w:val="en-US"/>
        </w:rPr>
        <w:t xml:space="preserve">are considered: </w:t>
      </w:r>
    </w:p>
    <w:p w14:paraId="18716FE6" w14:textId="151906D5" w:rsidR="00CE46C6" w:rsidRPr="002B6DA7" w:rsidRDefault="00CE46C6" w:rsidP="00CE46C6">
      <w:pPr>
        <w:pStyle w:val="ListParagraph"/>
        <w:numPr>
          <w:ilvl w:val="0"/>
          <w:numId w:val="136"/>
        </w:numPr>
        <w:rPr>
          <w:sz w:val="20"/>
          <w:szCs w:val="20"/>
          <w:lang w:val="en-US"/>
        </w:rPr>
      </w:pPr>
      <w:r w:rsidRPr="002B6DA7">
        <w:rPr>
          <w:b/>
          <w:bCs/>
          <w:sz w:val="20"/>
          <w:szCs w:val="20"/>
          <w:lang w:val="en-US"/>
        </w:rPr>
        <w:t>Setting 1</w:t>
      </w:r>
      <w:r>
        <w:rPr>
          <w:b/>
          <w:bCs/>
          <w:sz w:val="20"/>
          <w:szCs w:val="20"/>
          <w:lang w:val="en-US"/>
        </w:rPr>
        <w:t xml:space="preserve"> - Optimistic</w:t>
      </w:r>
      <w:r w:rsidRPr="002B6DA7">
        <w:rPr>
          <w:b/>
          <w:bCs/>
          <w:sz w:val="20"/>
          <w:szCs w:val="20"/>
          <w:lang w:val="en-US"/>
        </w:rPr>
        <w:t>:</w:t>
      </w:r>
      <w:r w:rsidRPr="002B6DA7">
        <w:rPr>
          <w:sz w:val="20"/>
          <w:szCs w:val="20"/>
          <w:lang w:val="en-US"/>
        </w:rPr>
        <w:t xml:space="preserve"> </w:t>
      </w:r>
      <w:r w:rsidR="0587B5D1" w:rsidRPr="70DB2A4C">
        <w:rPr>
          <w:sz w:val="20"/>
          <w:szCs w:val="20"/>
          <w:lang w:val="en-US"/>
        </w:rPr>
        <w:t xml:space="preserve">93 dB isolation </w:t>
      </w:r>
    </w:p>
    <w:p w14:paraId="52DE9688" w14:textId="4D9AFBE3" w:rsidR="00CE46C6" w:rsidRPr="002B6DA7" w:rsidRDefault="00CE46C6" w:rsidP="00CE46C6">
      <w:pPr>
        <w:pStyle w:val="ListParagraph"/>
        <w:numPr>
          <w:ilvl w:val="0"/>
          <w:numId w:val="136"/>
        </w:numPr>
        <w:rPr>
          <w:sz w:val="20"/>
          <w:szCs w:val="20"/>
          <w:lang w:val="en-US"/>
        </w:rPr>
      </w:pPr>
      <w:r w:rsidRPr="002B6DA7">
        <w:rPr>
          <w:b/>
          <w:bCs/>
          <w:sz w:val="20"/>
          <w:szCs w:val="20"/>
          <w:lang w:val="en-US"/>
        </w:rPr>
        <w:t>Setting 2</w:t>
      </w:r>
      <w:r>
        <w:rPr>
          <w:b/>
          <w:bCs/>
          <w:sz w:val="20"/>
          <w:szCs w:val="20"/>
          <w:lang w:val="en-US"/>
        </w:rPr>
        <w:t xml:space="preserve"> - Realistic</w:t>
      </w:r>
      <w:r w:rsidRPr="002B6DA7">
        <w:rPr>
          <w:b/>
          <w:bCs/>
          <w:sz w:val="20"/>
          <w:szCs w:val="20"/>
          <w:lang w:val="en-US"/>
        </w:rPr>
        <w:t>:</w:t>
      </w:r>
      <w:r w:rsidRPr="002B6DA7">
        <w:rPr>
          <w:sz w:val="20"/>
          <w:szCs w:val="20"/>
          <w:lang w:val="en-US"/>
        </w:rPr>
        <w:t xml:space="preserve"> </w:t>
      </w:r>
      <w:r w:rsidR="59C3B663" w:rsidRPr="70DB2A4C">
        <w:rPr>
          <w:sz w:val="20"/>
          <w:szCs w:val="20"/>
          <w:lang w:val="en-US"/>
        </w:rPr>
        <w:t xml:space="preserve">75 dB isolation </w:t>
      </w:r>
    </w:p>
    <w:p w14:paraId="0894D731" w14:textId="7F6D5219" w:rsidR="00CE46C6" w:rsidRDefault="00CE46C6" w:rsidP="00CB5832">
      <w:pPr>
        <w:jc w:val="both"/>
        <w:rPr>
          <w:lang w:val=""/>
        </w:rPr>
      </w:pPr>
    </w:p>
    <w:p w14:paraId="5211F8B1" w14:textId="350350B1" w:rsidR="005018B1" w:rsidRDefault="00CE46C6" w:rsidP="00D77D1C">
      <w:pPr>
        <w:jc w:val="both"/>
        <w:rPr>
          <w:lang w:val="en-US"/>
        </w:rPr>
      </w:pPr>
      <w:r>
        <w:rPr>
          <w:lang w:val=""/>
        </w:rPr>
        <w:t xml:space="preserve">The results are </w:t>
      </w:r>
      <w:r w:rsidR="001321D0">
        <w:rPr>
          <w:lang w:val=""/>
        </w:rPr>
        <w:t xml:space="preserve">depicted </w:t>
      </w:r>
      <w:r>
        <w:rPr>
          <w:lang w:val=""/>
        </w:rPr>
        <w:t xml:space="preserve">in </w:t>
      </w:r>
      <w:r>
        <w:rPr>
          <w:lang w:val=""/>
        </w:rPr>
        <w:fldChar w:fldCharType="begin"/>
      </w:r>
      <w:r>
        <w:rPr>
          <w:lang w:val=""/>
        </w:rPr>
        <w:instrText xml:space="preserve"> REF _Ref134970918 \h </w:instrText>
      </w:r>
      <w:r>
        <w:rPr>
          <w:lang w:val=""/>
        </w:rPr>
      </w:r>
      <w:r>
        <w:rPr>
          <w:lang w:val=""/>
        </w:rPr>
        <w:fldChar w:fldCharType="separate"/>
      </w:r>
      <w:r w:rsidR="00033018">
        <w:t xml:space="preserve">Figure </w:t>
      </w:r>
      <w:r w:rsidR="00033018">
        <w:rPr>
          <w:noProof/>
        </w:rPr>
        <w:t>1</w:t>
      </w:r>
      <w:r>
        <w:rPr>
          <w:lang w:val=""/>
        </w:rPr>
        <w:fldChar w:fldCharType="end"/>
      </w:r>
      <w:r>
        <w:rPr>
          <w:lang w:val=""/>
        </w:rPr>
        <w:t xml:space="preserve"> below, which </w:t>
      </w:r>
      <w:r>
        <w:rPr>
          <w:lang w:val="en-US"/>
        </w:rPr>
        <w:t xml:space="preserve">shows the average </w:t>
      </w:r>
      <w:r w:rsidR="0021525D">
        <w:rPr>
          <w:lang w:val="en-US"/>
        </w:rPr>
        <w:t xml:space="preserve">DL and </w:t>
      </w:r>
      <w:r>
        <w:rPr>
          <w:lang w:val="en-US"/>
        </w:rPr>
        <w:t>UL UPT for 5</w:t>
      </w:r>
      <w:r w:rsidRPr="00AB3DA3">
        <w:rPr>
          <w:vertAlign w:val="superscript"/>
          <w:lang w:val="en-US"/>
        </w:rPr>
        <w:t>th</w:t>
      </w:r>
      <w:r>
        <w:rPr>
          <w:lang w:val="en-US"/>
        </w:rPr>
        <w:t>, 50</w:t>
      </w:r>
      <w:r w:rsidRPr="00AB3DA3">
        <w:rPr>
          <w:vertAlign w:val="superscript"/>
          <w:lang w:val="en-US"/>
        </w:rPr>
        <w:t>th</w:t>
      </w:r>
      <w:r>
        <w:rPr>
          <w:lang w:val="en-US"/>
        </w:rPr>
        <w:t xml:space="preserve"> and 95</w:t>
      </w:r>
      <w:r w:rsidRPr="00AB3DA3">
        <w:rPr>
          <w:vertAlign w:val="superscript"/>
          <w:lang w:val="en-US"/>
        </w:rPr>
        <w:t>th</w:t>
      </w:r>
      <w:r>
        <w:rPr>
          <w:lang w:val="en-US"/>
        </w:rPr>
        <w:t xml:space="preserve"> percentile</w:t>
      </w:r>
      <w:r w:rsidR="00B74EEB">
        <w:rPr>
          <w:lang w:val="en-US"/>
        </w:rPr>
        <w:t xml:space="preserve"> with low load, medium load and high load</w:t>
      </w:r>
      <w:r>
        <w:rPr>
          <w:lang w:val="en-US"/>
        </w:rPr>
        <w:t xml:space="preserve"> for the </w:t>
      </w:r>
      <w:proofErr w:type="spellStart"/>
      <w:r>
        <w:rPr>
          <w:lang w:val="en-US"/>
        </w:rPr>
        <w:t>UMa</w:t>
      </w:r>
      <w:proofErr w:type="spellEnd"/>
      <w:r>
        <w:rPr>
          <w:lang w:val="en-US"/>
        </w:rPr>
        <w:t xml:space="preserve"> FR1 scenario with the settings described above. </w:t>
      </w:r>
      <w:r>
        <w:rPr>
          <w:lang w:val="en-US"/>
        </w:rPr>
        <w:fldChar w:fldCharType="begin"/>
      </w:r>
      <w:r>
        <w:rPr>
          <w:lang w:val="en-US"/>
        </w:rPr>
        <w:instrText xml:space="preserve"> REF _Ref134970918 \h </w:instrText>
      </w:r>
      <w:r>
        <w:rPr>
          <w:lang w:val="en-US"/>
        </w:rPr>
      </w:r>
      <w:r>
        <w:rPr>
          <w:lang w:val="en-US"/>
        </w:rPr>
        <w:fldChar w:fldCharType="separate"/>
      </w:r>
      <w:r w:rsidR="00BB7C77">
        <w:t xml:space="preserve">Figure </w:t>
      </w:r>
      <w:r w:rsidR="00BB7C77">
        <w:rPr>
          <w:noProof/>
        </w:rPr>
        <w:t>1</w:t>
      </w:r>
      <w:r>
        <w:rPr>
          <w:lang w:val="en-US"/>
        </w:rPr>
        <w:fldChar w:fldCharType="end"/>
      </w:r>
      <w:r>
        <w:rPr>
          <w:lang w:val="en-US"/>
        </w:rPr>
        <w:fldChar w:fldCharType="begin"/>
      </w:r>
      <w:r>
        <w:rPr>
          <w:lang w:val="en-US"/>
        </w:rPr>
        <w:instrText xml:space="preserve"> REF _Ref134906401 \h </w:instrText>
      </w:r>
      <w:r>
        <w:rPr>
          <w:lang w:val="en-US"/>
        </w:rPr>
      </w:r>
      <w:r w:rsidR="006D080B">
        <w:rPr>
          <w:lang w:val="en-US"/>
        </w:rPr>
        <w:fldChar w:fldCharType="separate"/>
      </w:r>
      <w:r>
        <w:rPr>
          <w:lang w:val="en-US"/>
        </w:rPr>
        <w:fldChar w:fldCharType="end"/>
      </w:r>
      <w:r>
        <w:rPr>
          <w:lang w:val="en-US"/>
        </w:rPr>
        <w:t xml:space="preserve"> highlights the effect of the SBFD BS antenna configuration</w:t>
      </w:r>
      <w:r w:rsidR="00E5475F">
        <w:rPr>
          <w:lang w:val="en-US"/>
        </w:rPr>
        <w:t>,</w:t>
      </w:r>
      <w:r w:rsidDel="00E5475F">
        <w:rPr>
          <w:lang w:val="en-US"/>
        </w:rPr>
        <w:t xml:space="preserve"> </w:t>
      </w:r>
      <w:r>
        <w:rPr>
          <w:lang w:val="en-US"/>
        </w:rPr>
        <w:t>SBFD</w:t>
      </w:r>
      <w:r w:rsidR="004B6BD0">
        <w:rPr>
          <w:lang w:val="en-US"/>
        </w:rPr>
        <w:t xml:space="preserve"> inter-sector</w:t>
      </w:r>
      <w:r>
        <w:rPr>
          <w:lang w:val="en-US"/>
        </w:rPr>
        <w:t xml:space="preserve"> isolation assumptions</w:t>
      </w:r>
      <w:r w:rsidR="00E5475F">
        <w:rPr>
          <w:lang w:val="en-US"/>
        </w:rPr>
        <w:t xml:space="preserve"> and </w:t>
      </w:r>
      <w:r w:rsidR="004B6BD0">
        <w:rPr>
          <w:lang w:val="en-US"/>
        </w:rPr>
        <w:t xml:space="preserve">the impact of </w:t>
      </w:r>
      <w:r w:rsidR="00E5475F">
        <w:rPr>
          <w:lang w:val="en-US"/>
        </w:rPr>
        <w:t xml:space="preserve">UE </w:t>
      </w:r>
      <w:r w:rsidR="00E37FBA">
        <w:rPr>
          <w:lang w:val="en-US"/>
        </w:rPr>
        <w:t>transmit</w:t>
      </w:r>
      <w:r w:rsidR="00E5475F">
        <w:rPr>
          <w:lang w:val="en-US"/>
        </w:rPr>
        <w:t xml:space="preserve"> power</w:t>
      </w:r>
      <w:r w:rsidR="00E37FBA">
        <w:rPr>
          <w:lang w:val="en-US"/>
        </w:rPr>
        <w:t>.</w:t>
      </w:r>
      <w:r w:rsidR="004B6BD0">
        <w:rPr>
          <w:lang w:val="en-US"/>
        </w:rPr>
        <w:t xml:space="preserve"> </w:t>
      </w:r>
      <w:r w:rsidR="006E4ABB">
        <w:rPr>
          <w:lang w:val="en-US"/>
        </w:rPr>
        <w:t>We consider two options for the</w:t>
      </w:r>
      <w:r w:rsidR="00453D17">
        <w:rPr>
          <w:lang w:val="en-US"/>
        </w:rPr>
        <w:t xml:space="preserve"> UE transmit power</w:t>
      </w:r>
      <w:r w:rsidR="006E4ABB">
        <w:rPr>
          <w:lang w:val="en-US"/>
        </w:rPr>
        <w:t xml:space="preserve">: </w:t>
      </w:r>
      <w:r w:rsidR="004B6BD0">
        <w:rPr>
          <w:lang w:val="en-US"/>
        </w:rPr>
        <w:t>the default option, with 23 dBm</w:t>
      </w:r>
      <w:r w:rsidR="00E9369A">
        <w:rPr>
          <w:lang w:val="en-US"/>
        </w:rPr>
        <w:t>,</w:t>
      </w:r>
      <w:r w:rsidR="004B6BD0">
        <w:rPr>
          <w:lang w:val="en-US"/>
        </w:rPr>
        <w:t xml:space="preserve"> </w:t>
      </w:r>
      <w:r w:rsidR="00C66ADC">
        <w:rPr>
          <w:lang w:val="en-US"/>
        </w:rPr>
        <w:t xml:space="preserve">and </w:t>
      </w:r>
      <w:r w:rsidR="005018B1">
        <w:rPr>
          <w:lang w:val="en-US"/>
        </w:rPr>
        <w:t xml:space="preserve">the </w:t>
      </w:r>
      <w:r w:rsidR="000A5B41">
        <w:rPr>
          <w:lang w:val="en-US"/>
        </w:rPr>
        <w:t>performance of PC2</w:t>
      </w:r>
      <w:r w:rsidR="005018B1">
        <w:rPr>
          <w:lang w:val="en-US"/>
        </w:rPr>
        <w:t xml:space="preserve">, with 26 dBm </w:t>
      </w:r>
      <w:proofErr w:type="spellStart"/>
      <w:r w:rsidR="005018B1">
        <w:rPr>
          <w:lang w:val="en-US"/>
        </w:rPr>
        <w:t>tx</w:t>
      </w:r>
      <w:proofErr w:type="spellEnd"/>
      <w:r w:rsidR="005018B1">
        <w:rPr>
          <w:lang w:val="en-US"/>
        </w:rPr>
        <w:t xml:space="preserve"> power. </w:t>
      </w:r>
      <w:r w:rsidR="006E4ABB">
        <w:rPr>
          <w:lang w:val="en-US"/>
        </w:rPr>
        <w:t>The 3dB power boost is</w:t>
      </w:r>
      <w:r w:rsidR="005018B1">
        <w:rPr>
          <w:lang w:val="en-US"/>
        </w:rPr>
        <w:t xml:space="preserve"> possible when the UL duty cycle is less than 50 %.</w:t>
      </w:r>
      <w:r w:rsidR="00F43894">
        <w:rPr>
          <w:lang w:val="en-US"/>
        </w:rPr>
        <w:t xml:space="preserve"> In the results presented here, we consider the BS ICS equal to </w:t>
      </w:r>
      <w:r w:rsidR="00C91AFB">
        <w:rPr>
          <w:lang w:val="en-US"/>
        </w:rPr>
        <w:t>62</w:t>
      </w:r>
      <w:r w:rsidR="00F43894">
        <w:rPr>
          <w:lang w:val="en-US"/>
        </w:rPr>
        <w:t xml:space="preserve"> </w:t>
      </w:r>
      <w:proofErr w:type="spellStart"/>
      <w:r w:rsidR="00F43894">
        <w:rPr>
          <w:lang w:val="en-US"/>
        </w:rPr>
        <w:t>dB.</w:t>
      </w:r>
      <w:proofErr w:type="spellEnd"/>
      <w:r w:rsidR="00F43894">
        <w:rPr>
          <w:lang w:val="en-US"/>
        </w:rPr>
        <w:t xml:space="preserve"> </w:t>
      </w:r>
    </w:p>
    <w:p w14:paraId="1C83F36C" w14:textId="30F447B5" w:rsidR="00F43894" w:rsidRDefault="00033018" w:rsidP="00D77D1C">
      <w:pPr>
        <w:jc w:val="both"/>
        <w:rPr>
          <w:lang w:val="en-US"/>
        </w:rPr>
      </w:pPr>
      <w:r>
        <w:rPr>
          <w:lang w:val="en-US"/>
        </w:rPr>
        <w:t xml:space="preserve">The results in </w:t>
      </w:r>
      <w:r w:rsidR="005B4501">
        <w:rPr>
          <w:lang w:val="en-US"/>
        </w:rPr>
        <w:fldChar w:fldCharType="begin"/>
      </w:r>
      <w:r w:rsidR="005B4501">
        <w:rPr>
          <w:lang w:val="en-US"/>
        </w:rPr>
        <w:instrText xml:space="preserve"> REF _Ref134970918 \h </w:instrText>
      </w:r>
      <w:r w:rsidR="005B4501">
        <w:rPr>
          <w:lang w:val="en-US"/>
        </w:rPr>
      </w:r>
      <w:r w:rsidR="005B4501">
        <w:rPr>
          <w:lang w:val="en-US"/>
        </w:rPr>
        <w:fldChar w:fldCharType="separate"/>
      </w:r>
      <w:r w:rsidR="005B4501">
        <w:t xml:space="preserve">Figure </w:t>
      </w:r>
      <w:r w:rsidR="005B4501">
        <w:rPr>
          <w:noProof/>
        </w:rPr>
        <w:t>1</w:t>
      </w:r>
      <w:r w:rsidR="005B4501">
        <w:rPr>
          <w:lang w:val="en-US"/>
        </w:rPr>
        <w:fldChar w:fldCharType="end"/>
      </w:r>
      <w:r w:rsidR="00E07415">
        <w:rPr>
          <w:lang w:val="en-US"/>
        </w:rPr>
        <w:t xml:space="preserve"> show that the DL performance is </w:t>
      </w:r>
      <w:r w:rsidR="00E31DF3">
        <w:rPr>
          <w:lang w:val="en-US"/>
        </w:rPr>
        <w:t xml:space="preserve">either maintained or </w:t>
      </w:r>
      <w:r w:rsidR="00EA3F78">
        <w:rPr>
          <w:lang w:val="en-US"/>
        </w:rPr>
        <w:t>degraded</w:t>
      </w:r>
      <w:r w:rsidR="00E07415">
        <w:rPr>
          <w:lang w:val="en-US"/>
        </w:rPr>
        <w:t xml:space="preserve"> by SBFD </w:t>
      </w:r>
      <w:r w:rsidR="00EA3F78">
        <w:rPr>
          <w:lang w:val="en-US"/>
        </w:rPr>
        <w:t xml:space="preserve">when compared to </w:t>
      </w:r>
      <w:r w:rsidR="009947A8">
        <w:rPr>
          <w:lang w:val="en-US"/>
        </w:rPr>
        <w:t xml:space="preserve">static TDD. </w:t>
      </w:r>
      <w:r w:rsidR="00EA311B">
        <w:rPr>
          <w:lang w:val="en-US"/>
        </w:rPr>
        <w:t xml:space="preserve">In general, SBFD performs much worse than static TDD due to the presence of strong UE-UE CLI in the </w:t>
      </w:r>
      <w:proofErr w:type="spellStart"/>
      <w:r w:rsidR="00EA311B">
        <w:rPr>
          <w:lang w:val="en-US"/>
        </w:rPr>
        <w:t>UMa</w:t>
      </w:r>
      <w:proofErr w:type="spellEnd"/>
      <w:r w:rsidR="00EA311B">
        <w:rPr>
          <w:lang w:val="en-US"/>
        </w:rPr>
        <w:t xml:space="preserve"> cluster scenario. </w:t>
      </w:r>
      <w:r w:rsidR="00540982">
        <w:rPr>
          <w:lang w:val="en-US"/>
        </w:rPr>
        <w:t>UL coverage limited UEs generally transmit over a few resource blocks with full power</w:t>
      </w:r>
      <w:r w:rsidR="00CA01FA">
        <w:rPr>
          <w:lang w:val="en-US"/>
        </w:rPr>
        <w:t xml:space="preserve">, resulting in </w:t>
      </w:r>
      <w:r w:rsidR="00A409ED">
        <w:rPr>
          <w:lang w:val="en-US"/>
        </w:rPr>
        <w:t>a very high in-band emission (IBE)</w:t>
      </w:r>
      <w:r w:rsidR="00257EDD">
        <w:rPr>
          <w:lang w:val="en-US"/>
        </w:rPr>
        <w:t xml:space="preserve"> and blocking nearby UEs. </w:t>
      </w:r>
    </w:p>
    <w:p w14:paraId="7652E17F" w14:textId="2334AC00" w:rsidR="00FC154D" w:rsidRDefault="00FC154D" w:rsidP="00D77D1C">
      <w:pPr>
        <w:jc w:val="both"/>
        <w:rPr>
          <w:lang w:val="en-US"/>
        </w:rPr>
      </w:pPr>
      <w:r>
        <w:rPr>
          <w:lang w:val="en-US"/>
        </w:rPr>
        <w:t>Considering the UL</w:t>
      </w:r>
      <w:r w:rsidR="00845073">
        <w:rPr>
          <w:lang w:val="en-US"/>
        </w:rPr>
        <w:t xml:space="preserve"> performance, the only case in </w:t>
      </w:r>
      <w:r w:rsidR="00FB41FC">
        <w:rPr>
          <w:lang w:val="en-US"/>
        </w:rPr>
        <w:t xml:space="preserve">which the </w:t>
      </w:r>
      <w:r w:rsidR="00E4711C">
        <w:rPr>
          <w:lang w:val="en-US"/>
        </w:rPr>
        <w:t xml:space="preserve">SBFD performance surpasses the static TDD performance </w:t>
      </w:r>
      <w:r w:rsidR="00634D4E">
        <w:rPr>
          <w:lang w:val="en-US"/>
        </w:rPr>
        <w:t>(when the UE transmits with 26 dBm) is in the 5</w:t>
      </w:r>
      <w:r w:rsidR="00634D4E" w:rsidRPr="00C81CC7">
        <w:rPr>
          <w:vertAlign w:val="superscript"/>
          <w:lang w:val="en-US"/>
        </w:rPr>
        <w:t>th</w:t>
      </w:r>
      <w:r w:rsidR="00634D4E">
        <w:rPr>
          <w:lang w:val="en-US"/>
        </w:rPr>
        <w:t xml:space="preserve"> percentile of low </w:t>
      </w:r>
      <w:r w:rsidR="006370BA">
        <w:rPr>
          <w:lang w:val="en-US"/>
        </w:rPr>
        <w:t xml:space="preserve">traffic </w:t>
      </w:r>
      <w:r w:rsidR="00634D4E">
        <w:rPr>
          <w:lang w:val="en-US"/>
        </w:rPr>
        <w:t>load</w:t>
      </w:r>
      <w:r w:rsidR="006370BA">
        <w:rPr>
          <w:lang w:val="en-US"/>
        </w:rPr>
        <w:t>.</w:t>
      </w:r>
      <w:r w:rsidR="00C056ED">
        <w:rPr>
          <w:lang w:val="en-US"/>
        </w:rPr>
        <w:t xml:space="preserve"> In medium and high loads, the performance assessed in all percentiles show that </w:t>
      </w:r>
      <w:r w:rsidR="00831076">
        <w:rPr>
          <w:lang w:val="en-US"/>
        </w:rPr>
        <w:t>static TDD</w:t>
      </w:r>
      <w:r w:rsidR="00660BE4">
        <w:rPr>
          <w:lang w:val="en-US"/>
        </w:rPr>
        <w:t xml:space="preserve">, with either 23 dBm or 26 dBm, </w:t>
      </w:r>
      <w:r w:rsidR="00CC471B">
        <w:rPr>
          <w:lang w:val="en-US"/>
        </w:rPr>
        <w:t xml:space="preserve">always </w:t>
      </w:r>
      <w:r w:rsidR="00660BE4">
        <w:rPr>
          <w:lang w:val="en-US"/>
        </w:rPr>
        <w:t>outperforms SBFD</w:t>
      </w:r>
      <w:r w:rsidR="00CC471B">
        <w:rPr>
          <w:lang w:val="en-US"/>
        </w:rPr>
        <w:t>.</w:t>
      </w:r>
      <w:r w:rsidR="00634D4E">
        <w:rPr>
          <w:lang w:val="en-US"/>
        </w:rPr>
        <w:t xml:space="preserve"> </w:t>
      </w:r>
    </w:p>
    <w:p w14:paraId="5FB47979" w14:textId="6185A32A" w:rsidR="00CE46C6" w:rsidRDefault="00C91AFB" w:rsidP="00C81CC7">
      <w:pPr>
        <w:pStyle w:val="B1"/>
      </w:pPr>
      <w:r>
        <w:rPr>
          <w:noProof/>
        </w:rPr>
        <w:drawing>
          <wp:inline distT="0" distB="0" distL="0" distR="0" wp14:anchorId="56109C93" wp14:editId="382DAE1E">
            <wp:extent cx="6120765" cy="4098290"/>
            <wp:effectExtent l="0" t="0" r="0" b="0"/>
            <wp:docPr id="21" name="Picture 2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different colored bars&#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098290"/>
                    </a:xfrm>
                    <a:prstGeom prst="rect">
                      <a:avLst/>
                    </a:prstGeom>
                    <a:noFill/>
                    <a:ln>
                      <a:noFill/>
                    </a:ln>
                  </pic:spPr>
                </pic:pic>
              </a:graphicData>
            </a:graphic>
          </wp:inline>
        </w:drawing>
      </w:r>
    </w:p>
    <w:p w14:paraId="0663F0F2" w14:textId="12991560" w:rsidR="00CE46C6" w:rsidRDefault="00CE46C6" w:rsidP="00CE46C6">
      <w:pPr>
        <w:pStyle w:val="Caption"/>
        <w:jc w:val="center"/>
      </w:pPr>
      <w:bookmarkStart w:id="4" w:name="_Ref134970918"/>
      <w:bookmarkStart w:id="5" w:name="_Ref134970913"/>
      <w:r>
        <w:t xml:space="preserve">Figure </w:t>
      </w:r>
      <w:r>
        <w:fldChar w:fldCharType="begin"/>
      </w:r>
      <w:r>
        <w:instrText xml:space="preserve"> SEQ Figure \* ARABIC </w:instrText>
      </w:r>
      <w:r>
        <w:fldChar w:fldCharType="separate"/>
      </w:r>
      <w:r w:rsidR="00033018">
        <w:rPr>
          <w:noProof/>
        </w:rPr>
        <w:t>1</w:t>
      </w:r>
      <w:r>
        <w:fldChar w:fldCharType="end"/>
      </w:r>
      <w:bookmarkEnd w:id="4"/>
      <w:r w:rsidR="00345B48">
        <w:t>:</w:t>
      </w:r>
      <w:r>
        <w:t xml:space="preserve"> Average </w:t>
      </w:r>
      <w:r w:rsidR="00862DCA">
        <w:t xml:space="preserve">DL and </w:t>
      </w:r>
      <w:r>
        <w:t xml:space="preserve">UL UPT for static TDD and different configurations of SBFD for FR1 </w:t>
      </w:r>
      <w:proofErr w:type="spellStart"/>
      <w:r>
        <w:t>UMa</w:t>
      </w:r>
      <w:proofErr w:type="spellEnd"/>
      <w:r>
        <w:t xml:space="preserve"> cluster scenario</w:t>
      </w:r>
      <w:bookmarkEnd w:id="5"/>
    </w:p>
    <w:p w14:paraId="7E658E76" w14:textId="0CA4CA65" w:rsidR="00345B48" w:rsidRDefault="00156887" w:rsidP="00330BAE">
      <w:pPr>
        <w:pStyle w:val="Observation"/>
        <w:jc w:val="both"/>
      </w:pPr>
      <w:bookmarkStart w:id="6" w:name="_Ref134976478"/>
      <w:bookmarkStart w:id="7" w:name="_Toc142394758"/>
      <w:bookmarkStart w:id="8" w:name="_Toc142394854"/>
      <w:bookmarkStart w:id="9" w:name="_Toc142397602"/>
      <w:bookmarkStart w:id="10" w:name="_Toc142397700"/>
      <w:bookmarkStart w:id="11" w:name="_Toc142397907"/>
      <w:bookmarkStart w:id="12" w:name="_Toc142399633"/>
      <w:bookmarkStart w:id="13" w:name="_Toc142400719"/>
      <w:bookmarkStart w:id="14" w:name="_Toc142400818"/>
      <w:bookmarkStart w:id="15" w:name="_Toc142400916"/>
      <w:bookmarkStart w:id="16" w:name="_Toc142401026"/>
      <w:bookmarkStart w:id="17" w:name="_Toc142401199"/>
      <w:bookmarkStart w:id="18" w:name="_Toc142466544"/>
      <w:bookmarkStart w:id="19" w:name="_Toc142481163"/>
      <w:bookmarkStart w:id="20" w:name="_Toc142481977"/>
      <w:r w:rsidRPr="00784D31">
        <w:t xml:space="preserve">With clustered UE distribution in </w:t>
      </w:r>
      <w:proofErr w:type="spellStart"/>
      <w:r w:rsidRPr="00784D31">
        <w:t>UMa</w:t>
      </w:r>
      <w:proofErr w:type="spellEnd"/>
      <w:r w:rsidRPr="00784D31">
        <w:t xml:space="preserve"> Scenario, </w:t>
      </w:r>
      <w:r w:rsidR="00BF4D5B">
        <w:t>t</w:t>
      </w:r>
      <w:r w:rsidR="00345B48">
        <w:t>he presence of co-channel inter-</w:t>
      </w:r>
      <w:r w:rsidR="00345B48" w:rsidRPr="00DA21FB">
        <w:t>sector</w:t>
      </w:r>
      <w:r w:rsidR="00345B48">
        <w:t xml:space="preserve"> and co-channel inter-gNB inter-subband CLI impacts the SBFD performance and hinders any gain on the UL UPT </w:t>
      </w:r>
      <w:r w:rsidR="003208A7">
        <w:t xml:space="preserve">in medium and high loads </w:t>
      </w:r>
      <w:r w:rsidR="00345B48">
        <w:t>with respect to static TDD.</w:t>
      </w:r>
      <w:bookmarkEnd w:id="6"/>
      <w:r w:rsidR="003208A7">
        <w:t xml:space="preserve"> </w:t>
      </w:r>
      <w:r w:rsidR="0055596D">
        <w:t>Ga</w:t>
      </w:r>
      <w:r w:rsidR="00273E50">
        <w:t>ins</w:t>
      </w:r>
      <w:r w:rsidR="00D40962">
        <w:t xml:space="preserve"> are </w:t>
      </w:r>
      <w:r w:rsidR="00273E50">
        <w:t xml:space="preserve">only </w:t>
      </w:r>
      <w:r w:rsidR="00D40962">
        <w:t>observed in the 5</w:t>
      </w:r>
      <w:r w:rsidR="00D40962" w:rsidRPr="00330BAE">
        <w:rPr>
          <w:vertAlign w:val="superscript"/>
        </w:rPr>
        <w:t>th</w:t>
      </w:r>
      <w:r w:rsidR="00D40962">
        <w:t xml:space="preserve"> percentile</w:t>
      </w:r>
      <w:r w:rsidR="00F5686A">
        <w:t xml:space="preserve"> UL </w:t>
      </w:r>
      <w:r w:rsidR="00E06175">
        <w:t>UPT</w:t>
      </w:r>
      <w:r w:rsidR="00D40962">
        <w:t xml:space="preserve"> </w:t>
      </w:r>
      <w:r w:rsidR="00F5686A">
        <w:t>for a low</w:t>
      </w:r>
      <w:r w:rsidR="00DF105B">
        <w:t xml:space="preserve"> traffic</w:t>
      </w:r>
      <w:r w:rsidR="00F5686A">
        <w:t xml:space="preserve"> load scenario</w:t>
      </w:r>
      <w:r w:rsidR="00D922A9">
        <w:t xml:space="preserve">, when SBFD is compared to static TDD with </w:t>
      </w:r>
      <w:r w:rsidR="00BE4DC9">
        <w:t xml:space="preserve">23 dBm </w:t>
      </w:r>
      <w:r w:rsidR="009E6622">
        <w:t>transmit power</w:t>
      </w:r>
      <w:r w:rsidR="00410C4A">
        <w:t xml:space="preserve">, in which the </w:t>
      </w:r>
      <w:r w:rsidR="00FF3C7F">
        <w:t xml:space="preserve">SBFD </w:t>
      </w:r>
      <w:r w:rsidR="0079531D">
        <w:t xml:space="preserve">UL throughput is </w:t>
      </w:r>
      <w:r w:rsidR="0077286D">
        <w:t xml:space="preserve">~4.5 times larger than the static TDD </w:t>
      </w:r>
      <w:r w:rsidR="00590317">
        <w:t>UL UPT</w:t>
      </w:r>
      <w:r w:rsidR="009E6622">
        <w:t>.</w:t>
      </w:r>
      <w:r w:rsidR="00D953D6">
        <w:t xml:space="preserve"> However, the improvement is only observed when </w:t>
      </w:r>
      <w:r w:rsidR="00141D9A">
        <w:t xml:space="preserve">assuming </w:t>
      </w:r>
      <w:r w:rsidR="00D953D6">
        <w:t xml:space="preserve">optimistic inter-sector </w:t>
      </w:r>
      <w:r w:rsidR="00A264C4">
        <w:t>isolation</w:t>
      </w:r>
      <w:r w:rsidR="008E156A">
        <w:t xml:space="preserve"> conditions, and the same antenna gain. </w:t>
      </w:r>
      <w:r w:rsidR="00390FC9">
        <w:t xml:space="preserve">In this </w:t>
      </w:r>
      <w:r w:rsidR="006E11CC">
        <w:t>scenario, s</w:t>
      </w:r>
      <w:r w:rsidR="005325B6">
        <w:t xml:space="preserve">tatic TDD with PC2 UEs </w:t>
      </w:r>
      <w:r w:rsidR="00F15666">
        <w:t>achieves 80% of the gain that SBFD provides without any degradation in the DL UPT performance.</w:t>
      </w:r>
      <w:r w:rsidR="006E11CC">
        <w:t xml:space="preserve"> In all other scenarios, static TDD with </w:t>
      </w:r>
      <w:r w:rsidR="00271FEE">
        <w:t>PC2 UEs</w:t>
      </w:r>
      <w:r w:rsidR="009838D0">
        <w:t xml:space="preserve"> outperforms </w:t>
      </w:r>
      <w:r w:rsidR="001455C2">
        <w:t>SBFD.</w:t>
      </w:r>
      <w:bookmarkEnd w:id="7"/>
      <w:bookmarkEnd w:id="8"/>
      <w:bookmarkEnd w:id="9"/>
      <w:bookmarkEnd w:id="10"/>
      <w:bookmarkEnd w:id="11"/>
      <w:bookmarkEnd w:id="12"/>
      <w:bookmarkEnd w:id="13"/>
      <w:bookmarkEnd w:id="14"/>
      <w:bookmarkEnd w:id="15"/>
      <w:bookmarkEnd w:id="16"/>
      <w:bookmarkEnd w:id="17"/>
      <w:bookmarkEnd w:id="18"/>
      <w:bookmarkEnd w:id="19"/>
      <w:bookmarkEnd w:id="20"/>
    </w:p>
    <w:p w14:paraId="4CD3C213" w14:textId="104B09C1" w:rsidR="00345B48" w:rsidRDefault="00345B48" w:rsidP="00D43D56">
      <w:pPr>
        <w:keepNext/>
        <w:jc w:val="both"/>
      </w:pPr>
    </w:p>
    <w:p w14:paraId="2B46CC48" w14:textId="09CA258B" w:rsidR="00DA21FB" w:rsidRDefault="00DA21FB" w:rsidP="00330BAE">
      <w:pPr>
        <w:pStyle w:val="Observation"/>
        <w:jc w:val="both"/>
        <w:rPr>
          <w:lang w:val=""/>
        </w:rPr>
      </w:pPr>
      <w:bookmarkStart w:id="21" w:name="_Toc142394760"/>
      <w:bookmarkStart w:id="22" w:name="_Toc142394856"/>
      <w:bookmarkStart w:id="23" w:name="_Toc142397603"/>
      <w:bookmarkStart w:id="24" w:name="_Toc142397701"/>
      <w:bookmarkStart w:id="25" w:name="_Toc142397908"/>
      <w:bookmarkStart w:id="26" w:name="_Toc142399634"/>
      <w:bookmarkStart w:id="27" w:name="_Toc142400720"/>
      <w:bookmarkStart w:id="28" w:name="_Toc142400819"/>
      <w:bookmarkStart w:id="29" w:name="_Toc142400917"/>
      <w:bookmarkStart w:id="30" w:name="_Toc142401027"/>
      <w:bookmarkStart w:id="31" w:name="_Toc142401200"/>
      <w:bookmarkStart w:id="32" w:name="_Toc142466545"/>
      <w:bookmarkStart w:id="33" w:name="_Toc142481164"/>
      <w:bookmarkStart w:id="34" w:name="_Toc142481978"/>
      <w:r w:rsidRPr="00784D31">
        <w:t xml:space="preserve">With clustered UE distribution in </w:t>
      </w:r>
      <w:proofErr w:type="spellStart"/>
      <w:r w:rsidRPr="00784D31">
        <w:t>UMa</w:t>
      </w:r>
      <w:proofErr w:type="spellEnd"/>
      <w:r w:rsidRPr="00784D31">
        <w:t xml:space="preserve"> Scenario, there is significant degradation of UE DL throughput due to UE-UE CLI even at low load. This mainly occurs when one or more coverage limited UEs transmit</w:t>
      </w:r>
      <w:r w:rsidR="004367C2">
        <w:t xml:space="preserve"> </w:t>
      </w:r>
      <w:r w:rsidR="004367C2" w:rsidRPr="00784D31">
        <w:t xml:space="preserve">over a few, </w:t>
      </w:r>
      <w:proofErr w:type="gramStart"/>
      <w:r w:rsidR="004367C2" w:rsidRPr="00784D31">
        <w:t>e.g.</w:t>
      </w:r>
      <w:proofErr w:type="gramEnd"/>
      <w:r w:rsidR="004367C2" w:rsidRPr="00784D31">
        <w:t xml:space="preserve"> 4, RBs with full 23 dBm UL transmit power which generates large amount of UL leakage interference to other UEs receiving in DL.</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8A36A38" w14:textId="226DF3C1" w:rsidR="008605EE" w:rsidRPr="001C18DB" w:rsidRDefault="008605EE" w:rsidP="000F314D">
      <w:pPr>
        <w:jc w:val="both"/>
        <w:rPr>
          <w:bCs/>
          <w:iCs/>
          <w:u w:val="single"/>
          <w:lang w:val="en-US"/>
        </w:rPr>
      </w:pPr>
    </w:p>
    <w:p w14:paraId="62280E02" w14:textId="2D8D875E" w:rsidR="008605EE" w:rsidRDefault="008605EE" w:rsidP="00B929B4">
      <w:pPr>
        <w:jc w:val="both"/>
        <w:rPr>
          <w:b/>
          <w:bCs/>
          <w:u w:val="single"/>
          <w:lang w:val="en-US"/>
        </w:rPr>
      </w:pPr>
      <w:r w:rsidRPr="007F6144">
        <w:rPr>
          <w:b/>
          <w:bCs/>
          <w:u w:val="single"/>
          <w:lang w:val="en-US"/>
        </w:rPr>
        <w:t>FR1 Indoor Office</w:t>
      </w:r>
    </w:p>
    <w:p w14:paraId="5D5ABD83" w14:textId="77777777" w:rsidR="00CC4516" w:rsidRDefault="00CC4516" w:rsidP="00B929B4">
      <w:pPr>
        <w:jc w:val="both"/>
        <w:rPr>
          <w:b/>
          <w:bCs/>
          <w:u w:val="single"/>
          <w:lang w:val="en-US"/>
        </w:rPr>
      </w:pPr>
    </w:p>
    <w:p w14:paraId="17B1C743" w14:textId="638C478C" w:rsidR="006A4646" w:rsidRDefault="0032431A" w:rsidP="00B929B4">
      <w:pPr>
        <w:jc w:val="both"/>
        <w:rPr>
          <w:lang w:val="en-US"/>
        </w:rPr>
      </w:pPr>
      <w:r>
        <w:rPr>
          <w:lang w:val="en-US"/>
        </w:rPr>
        <w:t>For the FR1 Indoor Office scenario</w:t>
      </w:r>
      <w:r w:rsidR="001E0DD9">
        <w:rPr>
          <w:lang w:val="en-US"/>
        </w:rPr>
        <w:t>,</w:t>
      </w:r>
      <w:r w:rsidR="00E277FC">
        <w:rPr>
          <w:lang w:val="en-US"/>
        </w:rPr>
        <w:t xml:space="preserve"> </w:t>
      </w:r>
      <w:r w:rsidR="00AF1E72">
        <w:rPr>
          <w:lang w:val="en-US"/>
        </w:rPr>
        <w:t>the performance considering different payload sizes was investigated in our companion contribution</w:t>
      </w:r>
      <w:r w:rsidR="00EC0902">
        <w:rPr>
          <w:lang w:val="en-US"/>
        </w:rPr>
        <w:fldChar w:fldCharType="begin"/>
      </w:r>
      <w:r w:rsidR="00EC0902">
        <w:rPr>
          <w:lang w:val="en-US"/>
        </w:rPr>
        <w:instrText xml:space="preserve"> REF _Ref134970240 \r \h </w:instrText>
      </w:r>
      <w:r w:rsidR="00EC0902">
        <w:rPr>
          <w:lang w:val="en-US"/>
        </w:rPr>
      </w:r>
      <w:r w:rsidR="00EC0902">
        <w:rPr>
          <w:lang w:val="en-US"/>
        </w:rPr>
        <w:fldChar w:fldCharType="separate"/>
      </w:r>
      <w:r w:rsidR="00EC0902">
        <w:rPr>
          <w:lang w:val="en-US"/>
        </w:rPr>
        <w:t>[2]</w:t>
      </w:r>
      <w:r w:rsidR="00EC0902">
        <w:rPr>
          <w:lang w:val="en-US"/>
        </w:rPr>
        <w:fldChar w:fldCharType="end"/>
      </w:r>
      <w:r w:rsidR="00EC0902">
        <w:rPr>
          <w:lang w:val="en-US"/>
        </w:rPr>
        <w:t>, the main results and discussion are summarized below</w:t>
      </w:r>
      <w:r w:rsidR="0053369E">
        <w:rPr>
          <w:lang w:val="en-US"/>
        </w:rPr>
        <w:t xml:space="preserve">. </w:t>
      </w:r>
      <w:r w:rsidR="00A4539A">
        <w:rPr>
          <w:lang w:val="en-US"/>
        </w:rPr>
        <w:t xml:space="preserve">In the results </w:t>
      </w:r>
      <w:r w:rsidR="002D332A">
        <w:rPr>
          <w:lang w:val="en-US"/>
        </w:rPr>
        <w:t xml:space="preserve">shown in </w:t>
      </w:r>
      <w:r w:rsidR="00A4539A">
        <w:rPr>
          <w:lang w:val="en-US"/>
        </w:rPr>
        <w:t xml:space="preserve">we consider </w:t>
      </w:r>
      <w:r w:rsidR="000E4B6F">
        <w:rPr>
          <w:lang w:val="en-US"/>
        </w:rPr>
        <w:t xml:space="preserve">two </w:t>
      </w:r>
      <w:r w:rsidR="005B0EB5">
        <w:rPr>
          <w:lang w:val="en-US"/>
        </w:rPr>
        <w:t xml:space="preserve">alternatives </w:t>
      </w:r>
      <w:r w:rsidR="005C499F">
        <w:rPr>
          <w:lang w:val="en-US"/>
        </w:rPr>
        <w:t xml:space="preserve">for the payload size, small and large, and </w:t>
      </w:r>
      <w:r w:rsidR="00A4539A">
        <w:rPr>
          <w:lang w:val="en-US"/>
        </w:rPr>
        <w:t xml:space="preserve">two </w:t>
      </w:r>
      <w:r w:rsidR="006A4646">
        <w:rPr>
          <w:lang w:val="en-US"/>
        </w:rPr>
        <w:t xml:space="preserve">SBFD alternatives: </w:t>
      </w:r>
    </w:p>
    <w:p w14:paraId="61C1ABAC" w14:textId="1FDB51AB" w:rsidR="006A4646" w:rsidRPr="00C81CC7" w:rsidRDefault="006A4646" w:rsidP="006A4646">
      <w:pPr>
        <w:pStyle w:val="ListParagraph"/>
        <w:numPr>
          <w:ilvl w:val="0"/>
          <w:numId w:val="7"/>
        </w:numPr>
        <w:jc w:val="both"/>
        <w:rPr>
          <w:sz w:val="20"/>
          <w:szCs w:val="20"/>
          <w:lang w:val="en-US"/>
        </w:rPr>
      </w:pPr>
      <w:r w:rsidRPr="00C81CC7">
        <w:rPr>
          <w:sz w:val="20"/>
          <w:szCs w:val="20"/>
          <w:lang w:val="en-US"/>
        </w:rPr>
        <w:t>Alt-2: SBFD XXXXU</w:t>
      </w:r>
      <w:r w:rsidR="00054492" w:rsidRPr="00C81CC7">
        <w:rPr>
          <w:sz w:val="20"/>
          <w:szCs w:val="20"/>
          <w:lang w:val="en-US"/>
        </w:rPr>
        <w:t>, TDD DDDSU</w:t>
      </w:r>
    </w:p>
    <w:p w14:paraId="1EE36CC3" w14:textId="77777777" w:rsidR="00054492" w:rsidRPr="00C81CC7" w:rsidRDefault="006A4646" w:rsidP="00054492">
      <w:pPr>
        <w:pStyle w:val="ListParagraph"/>
        <w:numPr>
          <w:ilvl w:val="0"/>
          <w:numId w:val="7"/>
        </w:numPr>
        <w:jc w:val="both"/>
        <w:rPr>
          <w:sz w:val="20"/>
          <w:szCs w:val="20"/>
          <w:lang w:val="en-US"/>
        </w:rPr>
      </w:pPr>
      <w:r w:rsidRPr="00C81CC7">
        <w:rPr>
          <w:sz w:val="20"/>
          <w:szCs w:val="20"/>
          <w:lang w:val="en-US"/>
        </w:rPr>
        <w:t>Alt 4: SBFD XXXXX</w:t>
      </w:r>
      <w:r w:rsidR="00054492" w:rsidRPr="00C81CC7">
        <w:rPr>
          <w:sz w:val="20"/>
          <w:szCs w:val="20"/>
          <w:lang w:val="en-US"/>
        </w:rPr>
        <w:t>, TDD DDDSU</w:t>
      </w:r>
    </w:p>
    <w:p w14:paraId="6196436C" w14:textId="0CB3CA0D" w:rsidR="004C6AA6" w:rsidRDefault="004C6AA6" w:rsidP="00054492">
      <w:pPr>
        <w:pStyle w:val="ListParagraph"/>
        <w:ind w:left="1080"/>
        <w:jc w:val="both"/>
        <w:rPr>
          <w:lang w:val="en-US"/>
        </w:rPr>
      </w:pPr>
    </w:p>
    <w:p w14:paraId="51E98237" w14:textId="77777777" w:rsidR="00556034" w:rsidRDefault="0013686A" w:rsidP="00C81CC7">
      <w:pPr>
        <w:pStyle w:val="B1"/>
      </w:pPr>
      <w:r w:rsidRPr="00581363">
        <w:rPr>
          <w:noProof/>
        </w:rPr>
        <w:drawing>
          <wp:inline distT="0" distB="0" distL="0" distR="0" wp14:anchorId="58BCF482" wp14:editId="63FCF2B2">
            <wp:extent cx="6100445" cy="4317616"/>
            <wp:effectExtent l="0" t="0" r="0" b="6985"/>
            <wp:docPr id="37" name="Graphic 37">
              <a:extLst xmlns:a="http://schemas.openxmlformats.org/drawingml/2006/main">
                <a:ext uri="{FF2B5EF4-FFF2-40B4-BE49-F238E27FC236}">
                  <a16:creationId xmlns:a16="http://schemas.microsoft.com/office/drawing/2014/main" id="{83E8B2A2-C13E-5CD8-FF2B-1E60939C02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83E8B2A2-C13E-5CD8-FF2B-1E60939C0281}"/>
                        </a:ext>
                      </a:extLst>
                    </pic:cNvPr>
                    <pic:cNvPicPr>
                      <a:picLocks noChangeAspect="1"/>
                    </pic:cNvPicPr>
                  </pic:nvPicPr>
                  <pic:blipFill rotWithShape="1">
                    <a:blip r:embed="rId14">
                      <a:extLst>
                        <a:ext uri="{96DAC541-7B7A-43D3-8B79-37D633B846F1}">
                          <asvg:svgBlip xmlns:asvg="http://schemas.microsoft.com/office/drawing/2016/SVG/main" r:embed="rId15"/>
                        </a:ext>
                      </a:extLst>
                    </a:blip>
                    <a:srcRect l="8847" t="3135" r="8837"/>
                    <a:stretch/>
                  </pic:blipFill>
                  <pic:spPr bwMode="auto">
                    <a:xfrm>
                      <a:off x="0" y="0"/>
                      <a:ext cx="6105379" cy="4321108"/>
                    </a:xfrm>
                    <a:prstGeom prst="rect">
                      <a:avLst/>
                    </a:prstGeom>
                    <a:ln>
                      <a:noFill/>
                    </a:ln>
                    <a:extLst>
                      <a:ext uri="{53640926-AAD7-44D8-BBD7-CCE9431645EC}">
                        <a14:shadowObscured xmlns:a14="http://schemas.microsoft.com/office/drawing/2010/main"/>
                      </a:ext>
                    </a:extLst>
                  </pic:spPr>
                </pic:pic>
              </a:graphicData>
            </a:graphic>
          </wp:inline>
        </w:drawing>
      </w:r>
    </w:p>
    <w:p w14:paraId="77D6F47E" w14:textId="68A29BC9" w:rsidR="002D332A" w:rsidRPr="00C81CC7" w:rsidRDefault="00556034" w:rsidP="00C81CC7">
      <w:pPr>
        <w:pStyle w:val="Caption"/>
        <w:jc w:val="center"/>
        <w:rPr>
          <w:lang w:val="en-US"/>
        </w:rPr>
      </w:pPr>
      <w:r>
        <w:t xml:space="preserve">Figure </w:t>
      </w:r>
      <w:r>
        <w:fldChar w:fldCharType="begin"/>
      </w:r>
      <w:r>
        <w:instrText xml:space="preserve"> SEQ Figure \* ARABIC </w:instrText>
      </w:r>
      <w:r>
        <w:fldChar w:fldCharType="separate"/>
      </w:r>
      <w:r>
        <w:rPr>
          <w:noProof/>
        </w:rPr>
        <w:t>2</w:t>
      </w:r>
      <w:r>
        <w:fldChar w:fldCharType="end"/>
      </w:r>
      <w:r>
        <w:t xml:space="preserve"> - </w:t>
      </w:r>
      <w:r w:rsidRPr="00E27599">
        <w:t xml:space="preserve">FR1 Indoor Office DL and UL UPT performance with large packet (0.5MB for DL and 0.125MB for UL) and BS ICS of 46 </w:t>
      </w:r>
      <w:proofErr w:type="spellStart"/>
      <w:r w:rsidRPr="00E27599">
        <w:t>dB.</w:t>
      </w:r>
      <w:proofErr w:type="spellEnd"/>
    </w:p>
    <w:p w14:paraId="47008E9A" w14:textId="34182BEB" w:rsidR="00624091" w:rsidRDefault="0063687E" w:rsidP="00B929B4">
      <w:pPr>
        <w:jc w:val="both"/>
        <w:rPr>
          <w:lang w:val="en-US"/>
        </w:rPr>
      </w:pPr>
      <w:r>
        <w:rPr>
          <w:lang w:val="en-US"/>
        </w:rPr>
        <w:t xml:space="preserve">Considering a large payload size (125 kB in the UL and 500 kB in the DL), </w:t>
      </w:r>
      <w:r w:rsidR="00EC0902" w:rsidRPr="00EA7BF4">
        <w:rPr>
          <w:lang w:val="en-US"/>
        </w:rPr>
        <w:t>SBFD</w:t>
      </w:r>
      <w:r w:rsidR="002F5691">
        <w:rPr>
          <w:lang w:val="en-US"/>
        </w:rPr>
        <w:t xml:space="preserve"> Alt-</w:t>
      </w:r>
      <w:r w:rsidR="00771FDD">
        <w:rPr>
          <w:lang w:val="en-US"/>
        </w:rPr>
        <w:t>4</w:t>
      </w:r>
      <w:r w:rsidR="00DF6367">
        <w:rPr>
          <w:lang w:val="en-US"/>
        </w:rPr>
        <w:t xml:space="preserve"> (XXXXX)</w:t>
      </w:r>
      <w:r w:rsidR="00EC0902" w:rsidRPr="00EA7BF4">
        <w:rPr>
          <w:lang w:val="en-US"/>
        </w:rPr>
        <w:t xml:space="preserve"> shows slightly worse UL user perceived throughput (UPT), </w:t>
      </w:r>
      <w:r w:rsidR="00887011">
        <w:rPr>
          <w:lang w:val="en-US"/>
        </w:rPr>
        <w:t xml:space="preserve">despite of providing UL opportunities in every slot, </w:t>
      </w:r>
      <w:r w:rsidR="00EC0902" w:rsidRPr="00EA7BF4">
        <w:rPr>
          <w:lang w:val="en-US"/>
        </w:rPr>
        <w:t>reporting an average of just above 1% performance degradation as compared to static TDD. The main reason for this degradation is the fact that the FTP3 payloads can actually be transmitted faster (</w:t>
      </w:r>
      <w:proofErr w:type="gramStart"/>
      <w:r w:rsidR="00EC0902" w:rsidRPr="00EA7BF4">
        <w:rPr>
          <w:lang w:val="en-US"/>
        </w:rPr>
        <w:t>i.e.</w:t>
      </w:r>
      <w:proofErr w:type="gramEnd"/>
      <w:r w:rsidR="00EC0902" w:rsidRPr="00EA7BF4">
        <w:rPr>
          <w:lang w:val="en-US"/>
        </w:rPr>
        <w:t xml:space="preserve"> with lower latency) with TDD than with SBFD</w:t>
      </w:r>
      <w:r w:rsidR="007C0562">
        <w:rPr>
          <w:lang w:val="en-US"/>
        </w:rPr>
        <w:t>, since an entire slot is dedicated to UL</w:t>
      </w:r>
      <w:r w:rsidR="00EC0902" w:rsidRPr="00EA7BF4">
        <w:rPr>
          <w:lang w:val="en-US"/>
        </w:rPr>
        <w:t xml:space="preserve">. </w:t>
      </w:r>
      <w:r w:rsidR="00BC0B5B">
        <w:rPr>
          <w:lang w:val="en-US"/>
        </w:rPr>
        <w:t>SBFD Alt-</w:t>
      </w:r>
      <w:r w:rsidR="00FD6633">
        <w:rPr>
          <w:lang w:val="en-US"/>
        </w:rPr>
        <w:t>2</w:t>
      </w:r>
      <w:r w:rsidR="00DF6367">
        <w:rPr>
          <w:lang w:val="en-US"/>
        </w:rPr>
        <w:t xml:space="preserve"> (XXXXU)</w:t>
      </w:r>
      <w:r w:rsidR="00FD6633">
        <w:rPr>
          <w:lang w:val="en-US"/>
        </w:rPr>
        <w:t xml:space="preserve">, on the other hand, </w:t>
      </w:r>
      <w:r w:rsidR="005C499F">
        <w:rPr>
          <w:lang w:val="en-US"/>
        </w:rPr>
        <w:t>provides a significant improvement on the UL</w:t>
      </w:r>
      <w:r w:rsidR="00C95D53">
        <w:rPr>
          <w:lang w:val="en-US"/>
        </w:rPr>
        <w:t xml:space="preserve"> throughput</w:t>
      </w:r>
      <w:r w:rsidR="005C499F">
        <w:rPr>
          <w:lang w:val="en-US"/>
        </w:rPr>
        <w:t xml:space="preserve">, </w:t>
      </w:r>
      <w:r w:rsidR="003C143D">
        <w:rPr>
          <w:lang w:val="en-US"/>
        </w:rPr>
        <w:t xml:space="preserve">between 50% and 70%, at the cost of DL UPT </w:t>
      </w:r>
      <w:r w:rsidR="007E23B7">
        <w:rPr>
          <w:lang w:val="en-US"/>
        </w:rPr>
        <w:t>degradation</w:t>
      </w:r>
      <w:r w:rsidR="006C5586">
        <w:rPr>
          <w:lang w:val="en-US"/>
        </w:rPr>
        <w:t xml:space="preserve">, of approximately 20% at low and medium load and 70% </w:t>
      </w:r>
      <w:r w:rsidR="00CD36A0">
        <w:rPr>
          <w:lang w:val="en-US"/>
        </w:rPr>
        <w:t>in the 5%-</w:t>
      </w:r>
      <w:proofErr w:type="spellStart"/>
      <w:r w:rsidR="00CD36A0">
        <w:rPr>
          <w:lang w:val="en-US"/>
        </w:rPr>
        <w:t>ile</w:t>
      </w:r>
      <w:proofErr w:type="spellEnd"/>
      <w:r w:rsidR="00CD36A0">
        <w:rPr>
          <w:lang w:val="en-US"/>
        </w:rPr>
        <w:t xml:space="preserve"> DL average UPT at high loads</w:t>
      </w:r>
      <w:r w:rsidR="007E23B7">
        <w:rPr>
          <w:lang w:val="en-US"/>
        </w:rPr>
        <w:t xml:space="preserve">. </w:t>
      </w:r>
      <w:r w:rsidR="2DA29578" w:rsidRPr="0C3EED39">
        <w:rPr>
          <w:lang w:val="en-US"/>
        </w:rPr>
        <w:t>SBFD Alt-2</w:t>
      </w:r>
      <w:r w:rsidR="1365D38D" w:rsidRPr="0C3EED39">
        <w:rPr>
          <w:lang w:val="en-US"/>
        </w:rPr>
        <w:t xml:space="preserve"> </w:t>
      </w:r>
      <w:r w:rsidR="501B0A29" w:rsidRPr="0C3EED39">
        <w:rPr>
          <w:lang w:val="en-US"/>
        </w:rPr>
        <w:t xml:space="preserve">provides </w:t>
      </w:r>
      <w:r w:rsidR="003E7FEB">
        <w:rPr>
          <w:lang w:val="en-US"/>
        </w:rPr>
        <w:t xml:space="preserve">more </w:t>
      </w:r>
      <w:r w:rsidR="501B0A29" w:rsidRPr="0C3EED39">
        <w:rPr>
          <w:lang w:val="en-US"/>
        </w:rPr>
        <w:t>UL opportunit</w:t>
      </w:r>
      <w:r w:rsidR="003E7FEB">
        <w:rPr>
          <w:lang w:val="en-US"/>
        </w:rPr>
        <w:t xml:space="preserve">ies than </w:t>
      </w:r>
      <w:r w:rsidR="001E6117">
        <w:rPr>
          <w:lang w:val="en-US"/>
        </w:rPr>
        <w:t>SBFD Alt-4</w:t>
      </w:r>
      <w:r w:rsidR="000119A0">
        <w:rPr>
          <w:lang w:val="en-US"/>
        </w:rPr>
        <w:t xml:space="preserve"> and static TDD</w:t>
      </w:r>
      <w:r w:rsidR="501B0A29" w:rsidRPr="4D61A669">
        <w:rPr>
          <w:lang w:val="en-US"/>
        </w:rPr>
        <w:t>.</w:t>
      </w:r>
      <w:r w:rsidR="1365D38D" w:rsidRPr="188CC4C8">
        <w:rPr>
          <w:lang w:val="en-US"/>
        </w:rPr>
        <w:t xml:space="preserve"> </w:t>
      </w:r>
      <w:r w:rsidR="00F9595F">
        <w:rPr>
          <w:lang w:val="en-US"/>
        </w:rPr>
        <w:t xml:space="preserve">In this </w:t>
      </w:r>
      <w:r w:rsidR="00EE0603">
        <w:rPr>
          <w:lang w:val="en-US"/>
        </w:rPr>
        <w:t xml:space="preserve">Figure, we also provide results for dynamic TDD. </w:t>
      </w:r>
      <w:r w:rsidR="00411924">
        <w:rPr>
          <w:lang w:val="en-US"/>
        </w:rPr>
        <w:t xml:space="preserve">Dynamic TDD has </w:t>
      </w:r>
      <w:r w:rsidR="00317BB5">
        <w:rPr>
          <w:lang w:val="en-US"/>
        </w:rPr>
        <w:t xml:space="preserve">a comparable performance to static TDD in the DL, </w:t>
      </w:r>
      <w:r w:rsidR="0044256D">
        <w:rPr>
          <w:lang w:val="en-US"/>
        </w:rPr>
        <w:t xml:space="preserve">but a remarkable </w:t>
      </w:r>
      <w:r w:rsidR="00624091">
        <w:rPr>
          <w:lang w:val="en-US"/>
        </w:rPr>
        <w:t>UL UPT gain, between 100% and 150</w:t>
      </w:r>
      <w:r w:rsidR="759BCA6F" w:rsidRPr="6D9A6E0F">
        <w:rPr>
          <w:lang w:val="en-US"/>
        </w:rPr>
        <w:t>%</w:t>
      </w:r>
      <w:r w:rsidR="00624091">
        <w:rPr>
          <w:lang w:val="en-US"/>
        </w:rPr>
        <w:t xml:space="preserve"> as compared to static TDD and SBFD Alt-4.</w:t>
      </w:r>
    </w:p>
    <w:p w14:paraId="55929F89" w14:textId="77777777" w:rsidR="00E300D7" w:rsidRDefault="00E300D7" w:rsidP="00C2573F">
      <w:pPr>
        <w:pStyle w:val="Observation"/>
        <w:spacing w:before="0" w:after="0"/>
      </w:pPr>
      <w:bookmarkStart w:id="35" w:name="_Toc142394761"/>
      <w:bookmarkStart w:id="36" w:name="_Toc142394857"/>
      <w:bookmarkStart w:id="37" w:name="_Toc142397604"/>
      <w:bookmarkStart w:id="38" w:name="_Toc142397702"/>
      <w:bookmarkStart w:id="39" w:name="_Toc142397909"/>
      <w:bookmarkStart w:id="40" w:name="_Toc142399635"/>
      <w:bookmarkStart w:id="41" w:name="_Toc142400721"/>
      <w:bookmarkStart w:id="42" w:name="_Toc142400820"/>
      <w:bookmarkStart w:id="43" w:name="_Toc142400918"/>
      <w:bookmarkStart w:id="44" w:name="_Toc142401028"/>
      <w:bookmarkStart w:id="45" w:name="_Toc142401201"/>
      <w:bookmarkStart w:id="46" w:name="_Toc142466546"/>
      <w:bookmarkStart w:id="47" w:name="_Toc142481165"/>
      <w:bookmarkStart w:id="48" w:name="_Toc142481979"/>
      <w:r>
        <w:t>For Deployment Case 1 FR1 Indoor Office scenario and large packet size:</w:t>
      </w:r>
      <w:bookmarkEnd w:id="35"/>
      <w:bookmarkEnd w:id="36"/>
      <w:bookmarkEnd w:id="37"/>
      <w:bookmarkEnd w:id="38"/>
      <w:bookmarkEnd w:id="39"/>
      <w:bookmarkEnd w:id="40"/>
      <w:bookmarkEnd w:id="41"/>
      <w:bookmarkEnd w:id="42"/>
      <w:bookmarkEnd w:id="43"/>
      <w:bookmarkEnd w:id="44"/>
      <w:bookmarkEnd w:id="45"/>
      <w:bookmarkEnd w:id="46"/>
      <w:bookmarkEnd w:id="47"/>
      <w:bookmarkEnd w:id="48"/>
      <w:r>
        <w:t xml:space="preserve"> </w:t>
      </w:r>
    </w:p>
    <w:p w14:paraId="3903C129" w14:textId="577C45E7" w:rsidR="00E300D7" w:rsidRDefault="00E300D7" w:rsidP="00C2573F">
      <w:pPr>
        <w:pStyle w:val="Observation"/>
        <w:numPr>
          <w:ilvl w:val="0"/>
          <w:numId w:val="149"/>
        </w:numPr>
        <w:spacing w:before="0" w:after="0"/>
      </w:pPr>
      <w:bookmarkStart w:id="49" w:name="_Toc142394762"/>
      <w:bookmarkStart w:id="50" w:name="_Toc142394858"/>
      <w:bookmarkStart w:id="51" w:name="_Toc142397605"/>
      <w:bookmarkStart w:id="52" w:name="_Toc142397703"/>
      <w:bookmarkStart w:id="53" w:name="_Toc142397910"/>
      <w:bookmarkStart w:id="54" w:name="_Toc142399636"/>
      <w:bookmarkStart w:id="55" w:name="_Toc142400722"/>
      <w:bookmarkStart w:id="56" w:name="_Toc142400821"/>
      <w:bookmarkStart w:id="57" w:name="_Toc142400919"/>
      <w:bookmarkStart w:id="58" w:name="_Toc142401029"/>
      <w:bookmarkStart w:id="59" w:name="_Toc142401202"/>
      <w:bookmarkStart w:id="60" w:name="_Toc142466547"/>
      <w:bookmarkStart w:id="61" w:name="_Toc142481166"/>
      <w:bookmarkStart w:id="62" w:name="_Toc142481980"/>
      <w:r>
        <w:t>SBFD XXXXX and static TDD DDDSU provide almost identical UL and DL performance.</w:t>
      </w:r>
      <w:bookmarkEnd w:id="49"/>
      <w:bookmarkEnd w:id="50"/>
      <w:bookmarkEnd w:id="51"/>
      <w:bookmarkEnd w:id="52"/>
      <w:bookmarkEnd w:id="53"/>
      <w:bookmarkEnd w:id="54"/>
      <w:bookmarkEnd w:id="55"/>
      <w:bookmarkEnd w:id="56"/>
      <w:bookmarkEnd w:id="57"/>
      <w:bookmarkEnd w:id="58"/>
      <w:bookmarkEnd w:id="59"/>
      <w:bookmarkEnd w:id="60"/>
      <w:bookmarkEnd w:id="61"/>
      <w:bookmarkEnd w:id="62"/>
      <w:r>
        <w:t xml:space="preserve"> </w:t>
      </w:r>
    </w:p>
    <w:p w14:paraId="601621BA" w14:textId="77777777" w:rsidR="00E300D7" w:rsidRDefault="00E300D7" w:rsidP="00C2573F">
      <w:pPr>
        <w:pStyle w:val="Observation"/>
        <w:numPr>
          <w:ilvl w:val="0"/>
          <w:numId w:val="149"/>
        </w:numPr>
        <w:spacing w:before="0" w:after="0"/>
      </w:pPr>
      <w:bookmarkStart w:id="63" w:name="_Toc142394763"/>
      <w:bookmarkStart w:id="64" w:name="_Toc142394859"/>
      <w:bookmarkStart w:id="65" w:name="_Toc142397606"/>
      <w:bookmarkStart w:id="66" w:name="_Toc142397704"/>
      <w:bookmarkStart w:id="67" w:name="_Toc142397911"/>
      <w:bookmarkStart w:id="68" w:name="_Toc142399637"/>
      <w:bookmarkStart w:id="69" w:name="_Toc142400723"/>
      <w:bookmarkStart w:id="70" w:name="_Toc142400822"/>
      <w:bookmarkStart w:id="71" w:name="_Toc142400920"/>
      <w:bookmarkStart w:id="72" w:name="_Toc142401030"/>
      <w:bookmarkStart w:id="73" w:name="_Toc142401203"/>
      <w:bookmarkStart w:id="74" w:name="_Toc142466548"/>
      <w:bookmarkStart w:id="75" w:name="_Toc142481167"/>
      <w:bookmarkStart w:id="76" w:name="_Toc142481981"/>
      <w:r>
        <w:t>SBFD XXXXU provides 50% to 70% UL UPT improvement at the expense of a DL UPT degradation of approximately 20% at low and medium load, and up to 70% in the 5%-</w:t>
      </w:r>
      <w:proofErr w:type="spellStart"/>
      <w:r>
        <w:t>ile</w:t>
      </w:r>
      <w:proofErr w:type="spellEnd"/>
      <w:r>
        <w:t xml:space="preserve"> DL average UPT at high loads.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C18C29F" w14:textId="77777777" w:rsidR="00E300D7" w:rsidRDefault="00E300D7" w:rsidP="00C2573F">
      <w:pPr>
        <w:pStyle w:val="Observation"/>
        <w:numPr>
          <w:ilvl w:val="0"/>
          <w:numId w:val="149"/>
        </w:numPr>
        <w:spacing w:before="0" w:after="0"/>
      </w:pPr>
      <w:bookmarkStart w:id="77" w:name="_Toc142394764"/>
      <w:bookmarkStart w:id="78" w:name="_Toc142394860"/>
      <w:bookmarkStart w:id="79" w:name="_Toc142397607"/>
      <w:bookmarkStart w:id="80" w:name="_Toc142397705"/>
      <w:bookmarkStart w:id="81" w:name="_Toc142397912"/>
      <w:bookmarkStart w:id="82" w:name="_Toc142399638"/>
      <w:bookmarkStart w:id="83" w:name="_Toc142400724"/>
      <w:bookmarkStart w:id="84" w:name="_Toc142400823"/>
      <w:bookmarkStart w:id="85" w:name="_Toc142400921"/>
      <w:bookmarkStart w:id="86" w:name="_Toc142401031"/>
      <w:bookmarkStart w:id="87" w:name="_Toc142401204"/>
      <w:bookmarkStart w:id="88" w:name="_Toc142466549"/>
      <w:bookmarkStart w:id="89" w:name="_Toc142481168"/>
      <w:bookmarkStart w:id="90" w:name="_Toc142481982"/>
      <w:r>
        <w:t>For low and medium loads, dynamic TDD provides a UL UPT gain between 100% to 150% as compared static TDD and SBFD XXXXX, and up to 65% gain over SBFD XXXXU. Contrary to SBFD XXXXU, dynamic TDD does not come at the expense of significantly worse DL average UPT performance.</w:t>
      </w:r>
      <w:bookmarkEnd w:id="77"/>
      <w:bookmarkEnd w:id="78"/>
      <w:bookmarkEnd w:id="79"/>
      <w:bookmarkEnd w:id="80"/>
      <w:bookmarkEnd w:id="81"/>
      <w:bookmarkEnd w:id="82"/>
      <w:bookmarkEnd w:id="83"/>
      <w:bookmarkEnd w:id="84"/>
      <w:bookmarkEnd w:id="85"/>
      <w:bookmarkEnd w:id="86"/>
      <w:bookmarkEnd w:id="87"/>
      <w:bookmarkEnd w:id="88"/>
      <w:bookmarkEnd w:id="89"/>
      <w:bookmarkEnd w:id="90"/>
      <w:r>
        <w:t xml:space="preserve"> </w:t>
      </w:r>
    </w:p>
    <w:p w14:paraId="0431B45F" w14:textId="77777777" w:rsidR="00EE0603" w:rsidRDefault="00EE0603" w:rsidP="00B929B4">
      <w:pPr>
        <w:jc w:val="both"/>
        <w:rPr>
          <w:lang w:val="en-US"/>
        </w:rPr>
      </w:pPr>
    </w:p>
    <w:p w14:paraId="0586AB82" w14:textId="3251CBF8" w:rsidR="00EC0902" w:rsidRDefault="004C6AA6" w:rsidP="00EC0902">
      <w:pPr>
        <w:spacing w:after="120"/>
        <w:jc w:val="both"/>
        <w:rPr>
          <w:lang w:val="en-US"/>
        </w:rPr>
      </w:pPr>
      <w:r>
        <w:rPr>
          <w:lang w:val="en-US"/>
        </w:rPr>
        <w:t>For a scenario with small payload size (1 kB</w:t>
      </w:r>
      <w:r w:rsidR="005F674B">
        <w:rPr>
          <w:lang w:val="en-US"/>
        </w:rPr>
        <w:t xml:space="preserve"> in the UL and 4 kB in the DL</w:t>
      </w:r>
      <w:r>
        <w:rPr>
          <w:lang w:val="en-US"/>
        </w:rPr>
        <w:t>)</w:t>
      </w:r>
      <w:r w:rsidR="00EC0902">
        <w:rPr>
          <w:lang w:val="en-US"/>
        </w:rPr>
        <w:t>, contrary</w:t>
      </w:r>
      <w:r w:rsidR="00EC0902" w:rsidRPr="002B6DA7">
        <w:rPr>
          <w:lang w:val="en-US"/>
        </w:rPr>
        <w:t xml:space="preserve"> to the large payload results, SBFD gives an overall improvement of UL throughput compared to </w:t>
      </w:r>
      <w:r w:rsidR="003E4DED">
        <w:rPr>
          <w:lang w:val="en-US"/>
        </w:rPr>
        <w:t xml:space="preserve">static </w:t>
      </w:r>
      <w:r w:rsidR="00EC0902" w:rsidRPr="002B6DA7">
        <w:rPr>
          <w:lang w:val="en-US"/>
        </w:rPr>
        <w:t xml:space="preserve">TDD of at least </w:t>
      </w:r>
      <w:r w:rsidR="005610BD">
        <w:rPr>
          <w:lang w:val="en-US"/>
        </w:rPr>
        <w:t>50%</w:t>
      </w:r>
      <w:r w:rsidR="009E1EBA">
        <w:rPr>
          <w:lang w:val="en-US"/>
        </w:rPr>
        <w:t>, in both SBFD Alt-2 and Alt-4</w:t>
      </w:r>
      <w:r w:rsidR="007933C3">
        <w:rPr>
          <w:lang w:val="en-US"/>
        </w:rPr>
        <w:t xml:space="preserve">, without degradation in the DL. </w:t>
      </w:r>
      <w:r w:rsidR="007850B6">
        <w:rPr>
          <w:lang w:val="en-US"/>
        </w:rPr>
        <w:t>In</w:t>
      </w:r>
      <w:r w:rsidR="007933C3">
        <w:rPr>
          <w:lang w:val="en-US"/>
        </w:rPr>
        <w:t xml:space="preserve"> this case, </w:t>
      </w:r>
      <w:r w:rsidR="009D18CB">
        <w:rPr>
          <w:lang w:val="en-US"/>
        </w:rPr>
        <w:t>a 3% to 10% DL UPT performance imp</w:t>
      </w:r>
      <w:r w:rsidR="00D83825">
        <w:rPr>
          <w:lang w:val="en-US"/>
        </w:rPr>
        <w:t xml:space="preserve">rovement </w:t>
      </w:r>
      <w:r w:rsidR="00A705FE">
        <w:rPr>
          <w:lang w:val="en-US"/>
        </w:rPr>
        <w:t>is observed in SBFD Alt-2 when compared to static TDD</w:t>
      </w:r>
      <w:r w:rsidR="00EC0902" w:rsidRPr="002B6DA7">
        <w:rPr>
          <w:lang w:val="en-US"/>
        </w:rPr>
        <w:t xml:space="preserve">. The reason for </w:t>
      </w:r>
      <w:r w:rsidR="00A705FE">
        <w:rPr>
          <w:lang w:val="en-US"/>
        </w:rPr>
        <w:t>the UL UPT performance improvement</w:t>
      </w:r>
      <w:r w:rsidR="00A705FE" w:rsidRPr="002B6DA7">
        <w:rPr>
          <w:lang w:val="en-US"/>
        </w:rPr>
        <w:t xml:space="preserve"> </w:t>
      </w:r>
      <w:r w:rsidR="00EC0902" w:rsidRPr="002B6DA7">
        <w:rPr>
          <w:lang w:val="en-US"/>
        </w:rPr>
        <w:t xml:space="preserve">is that the transmission of the entire 1 kB payload can fit a single slot for both SBFD and TDD. The main difference is the UL resource availability and the impact on the queuing delay. In SBFD, an UL packet is transmitted almost immediately in the case of SBFD, while there is generally some waiting time in the case of TDD UL (an average of 2 slots to get the next UL scheduling opportunity). This problem becomes even larger for the high load cases in which packets are queued for more than 1 full radio frame before they get served in TDD. </w:t>
      </w:r>
    </w:p>
    <w:p w14:paraId="24DC3DB4" w14:textId="3471B436" w:rsidR="00A71F4F" w:rsidRDefault="00B159FD" w:rsidP="00060EF4">
      <w:pPr>
        <w:keepNext/>
        <w:spacing w:after="120"/>
        <w:jc w:val="both"/>
      </w:pPr>
      <w:r w:rsidRPr="00DF0403">
        <w:rPr>
          <w:noProof/>
        </w:rPr>
        <w:drawing>
          <wp:inline distT="0" distB="0" distL="0" distR="0" wp14:anchorId="091B48CC" wp14:editId="49521801">
            <wp:extent cx="6120765" cy="4147748"/>
            <wp:effectExtent l="0" t="0" r="0" b="5715"/>
            <wp:docPr id="46" name="Graphic 46">
              <a:extLst xmlns:a="http://schemas.openxmlformats.org/drawingml/2006/main">
                <a:ext uri="{FF2B5EF4-FFF2-40B4-BE49-F238E27FC236}">
                  <a16:creationId xmlns:a16="http://schemas.microsoft.com/office/drawing/2014/main" id="{A4E33C8E-4234-FF22-08D3-5907A9EBB4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4E33C8E-4234-FF22-08D3-5907A9EBB44C}"/>
                        </a:ext>
                      </a:extLst>
                    </pic:cNvPr>
                    <pic:cNvPicPr>
                      <a:picLocks noChangeAspect="1"/>
                    </pic:cNvPicPr>
                  </pic:nvPicPr>
                  <pic:blipFill rotWithShape="1">
                    <a:blip r:embed="rId16">
                      <a:extLst>
                        <a:ext uri="{96DAC541-7B7A-43D3-8B79-37D633B846F1}">
                          <asvg:svgBlip xmlns:asvg="http://schemas.microsoft.com/office/drawing/2016/SVG/main" r:embed="rId17"/>
                        </a:ext>
                      </a:extLst>
                    </a:blip>
                    <a:srcRect l="9134" r="9074"/>
                    <a:stretch/>
                  </pic:blipFill>
                  <pic:spPr>
                    <a:xfrm>
                      <a:off x="0" y="0"/>
                      <a:ext cx="6120765" cy="4147748"/>
                    </a:xfrm>
                    <a:prstGeom prst="rect">
                      <a:avLst/>
                    </a:prstGeom>
                  </pic:spPr>
                </pic:pic>
              </a:graphicData>
            </a:graphic>
          </wp:inline>
        </w:drawing>
      </w:r>
    </w:p>
    <w:p w14:paraId="401EDB50" w14:textId="502781EA" w:rsidR="005610BD" w:rsidRDefault="00A71F4F" w:rsidP="00060EF4">
      <w:pPr>
        <w:pStyle w:val="Caption"/>
        <w:jc w:val="both"/>
        <w:rPr>
          <w:lang w:val="en-US"/>
        </w:rPr>
      </w:pPr>
      <w:r>
        <w:t xml:space="preserve">Figure </w:t>
      </w:r>
      <w:r>
        <w:fldChar w:fldCharType="begin"/>
      </w:r>
      <w:r>
        <w:instrText xml:space="preserve"> SEQ Figure \* ARABIC </w:instrText>
      </w:r>
      <w:r>
        <w:fldChar w:fldCharType="separate"/>
      </w:r>
      <w:r>
        <w:rPr>
          <w:noProof/>
        </w:rPr>
        <w:t>3</w:t>
      </w:r>
      <w:r>
        <w:fldChar w:fldCharType="end"/>
      </w:r>
      <w:r w:rsidRPr="004A3856">
        <w:t xml:space="preserve">: FR1 Indoor Office DL and UL UPT performance with </w:t>
      </w:r>
      <w:r w:rsidR="00502800">
        <w:t>small</w:t>
      </w:r>
      <w:r w:rsidRPr="004A3856">
        <w:t xml:space="preserve"> packet (</w:t>
      </w:r>
      <w:r w:rsidR="00220299">
        <w:t>4</w:t>
      </w:r>
      <w:r w:rsidR="00502800">
        <w:t xml:space="preserve"> kB </w:t>
      </w:r>
      <w:r w:rsidRPr="004A3856">
        <w:t xml:space="preserve">for DL and </w:t>
      </w:r>
      <w:r w:rsidR="00220299">
        <w:t>1 kB</w:t>
      </w:r>
      <w:r w:rsidRPr="004A3856">
        <w:t xml:space="preserve"> for UL) and BS ICS of 46 </w:t>
      </w:r>
      <w:proofErr w:type="spellStart"/>
      <w:r w:rsidRPr="004A3856">
        <w:t>dB.</w:t>
      </w:r>
      <w:proofErr w:type="spellEnd"/>
    </w:p>
    <w:p w14:paraId="62EB4EDE" w14:textId="77777777" w:rsidR="007F6144" w:rsidRDefault="007F6144" w:rsidP="00060EF4">
      <w:pPr>
        <w:pStyle w:val="Observation"/>
        <w:spacing w:before="0" w:after="0"/>
      </w:pPr>
      <w:bookmarkStart w:id="91" w:name="_Toc142394767"/>
      <w:bookmarkStart w:id="92" w:name="_Toc142394863"/>
      <w:bookmarkStart w:id="93" w:name="_Toc142397608"/>
      <w:bookmarkStart w:id="94" w:name="_Toc142397706"/>
      <w:bookmarkStart w:id="95" w:name="_Toc142397913"/>
      <w:bookmarkStart w:id="96" w:name="_Toc142399639"/>
      <w:bookmarkStart w:id="97" w:name="_Toc142400725"/>
      <w:bookmarkStart w:id="98" w:name="_Toc142400824"/>
      <w:bookmarkStart w:id="99" w:name="_Toc142400922"/>
      <w:bookmarkStart w:id="100" w:name="_Toc142401032"/>
      <w:bookmarkStart w:id="101" w:name="_Toc142401205"/>
      <w:bookmarkStart w:id="102" w:name="_Toc142466550"/>
      <w:bookmarkStart w:id="103" w:name="_Toc142481169"/>
      <w:bookmarkStart w:id="104" w:name="_Toc142481983"/>
      <w:r>
        <w:t>For Deployment Case 1 FR1 Indoor Office scenario and small packet size:</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783D7708" w14:textId="77777777" w:rsidR="007F6144" w:rsidRDefault="007F6144" w:rsidP="00060EF4">
      <w:pPr>
        <w:pStyle w:val="Observation"/>
        <w:numPr>
          <w:ilvl w:val="0"/>
          <w:numId w:val="152"/>
        </w:numPr>
        <w:spacing w:before="0" w:after="0"/>
      </w:pPr>
      <w:bookmarkStart w:id="105" w:name="_Toc142394768"/>
      <w:bookmarkStart w:id="106" w:name="_Toc142394864"/>
      <w:bookmarkStart w:id="107" w:name="_Toc142397609"/>
      <w:bookmarkStart w:id="108" w:name="_Toc142397707"/>
      <w:bookmarkStart w:id="109" w:name="_Toc142397914"/>
      <w:bookmarkStart w:id="110" w:name="_Toc142399640"/>
      <w:bookmarkStart w:id="111" w:name="_Toc142400726"/>
      <w:bookmarkStart w:id="112" w:name="_Toc142400825"/>
      <w:bookmarkStart w:id="113" w:name="_Toc142400923"/>
      <w:bookmarkStart w:id="114" w:name="_Toc142401033"/>
      <w:bookmarkStart w:id="115" w:name="_Toc142401206"/>
      <w:bookmarkStart w:id="116" w:name="_Toc142466551"/>
      <w:bookmarkStart w:id="117" w:name="_Toc142481170"/>
      <w:bookmarkStart w:id="118" w:name="_Toc142481984"/>
      <w:r>
        <w:t>SBFD XXXXX and XXXXU provides approximately 50% higher UL 5%/50%/95%-</w:t>
      </w:r>
      <w:proofErr w:type="spellStart"/>
      <w:r>
        <w:t>ile</w:t>
      </w:r>
      <w:proofErr w:type="spellEnd"/>
      <w:r>
        <w:t xml:space="preserve"> UL UPT performance compared to static TDD.</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t xml:space="preserve"> </w:t>
      </w:r>
    </w:p>
    <w:p w14:paraId="690C6CAF" w14:textId="77777777" w:rsidR="007F6144" w:rsidRDefault="007F6144" w:rsidP="00060EF4">
      <w:pPr>
        <w:pStyle w:val="Observation"/>
        <w:numPr>
          <w:ilvl w:val="0"/>
          <w:numId w:val="152"/>
        </w:numPr>
        <w:spacing w:before="0" w:after="0"/>
      </w:pPr>
      <w:bookmarkStart w:id="119" w:name="_Toc142394769"/>
      <w:bookmarkStart w:id="120" w:name="_Toc142394865"/>
      <w:bookmarkStart w:id="121" w:name="_Toc142397610"/>
      <w:bookmarkStart w:id="122" w:name="_Toc142397708"/>
      <w:bookmarkStart w:id="123" w:name="_Toc142397915"/>
      <w:bookmarkStart w:id="124" w:name="_Toc142399641"/>
      <w:bookmarkStart w:id="125" w:name="_Toc142400727"/>
      <w:bookmarkStart w:id="126" w:name="_Toc142400826"/>
      <w:bookmarkStart w:id="127" w:name="_Toc142400924"/>
      <w:bookmarkStart w:id="128" w:name="_Toc142401034"/>
      <w:bookmarkStart w:id="129" w:name="_Toc142401207"/>
      <w:bookmarkStart w:id="130" w:name="_Toc142466552"/>
      <w:bookmarkStart w:id="131" w:name="_Toc142481171"/>
      <w:bookmarkStart w:id="132" w:name="_Toc142481985"/>
      <w:r>
        <w:t>SBFD XXXXX provides also a small 3% to 10% DL UPT gain over static TDD, while SBFD XXXXU performs worse than static TDD in DL in most of the cases.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t xml:space="preserve"> </w:t>
      </w:r>
    </w:p>
    <w:p w14:paraId="5B03364A" w14:textId="74A11FA6" w:rsidR="00BC7775" w:rsidRPr="00BC7775" w:rsidRDefault="00BC7775" w:rsidP="00060EF4">
      <w:pPr>
        <w:pStyle w:val="Observation"/>
        <w:numPr>
          <w:ilvl w:val="0"/>
          <w:numId w:val="0"/>
        </w:numPr>
        <w:ind w:left="360"/>
      </w:pPr>
    </w:p>
    <w:p w14:paraId="0CF8A5DC" w14:textId="5D4C180A" w:rsidR="008605EE" w:rsidRPr="00B70E72" w:rsidRDefault="008605EE" w:rsidP="008605EE">
      <w:pPr>
        <w:jc w:val="both"/>
        <w:rPr>
          <w:b/>
          <w:bCs/>
          <w:u w:val="single"/>
          <w:lang w:val="en-US"/>
        </w:rPr>
      </w:pPr>
      <w:r w:rsidRPr="00B70E72">
        <w:rPr>
          <w:b/>
          <w:bCs/>
          <w:u w:val="single"/>
          <w:lang w:val="en-US"/>
        </w:rPr>
        <w:t>FR</w:t>
      </w:r>
      <w:r>
        <w:rPr>
          <w:b/>
          <w:bCs/>
          <w:u w:val="single"/>
          <w:lang w:val="en-US"/>
        </w:rPr>
        <w:t>2</w:t>
      </w:r>
      <w:r w:rsidRPr="00B70E72">
        <w:rPr>
          <w:b/>
          <w:bCs/>
          <w:u w:val="single"/>
          <w:lang w:val="en-US"/>
        </w:rPr>
        <w:t xml:space="preserve"> Indoor Office</w:t>
      </w:r>
    </w:p>
    <w:p w14:paraId="37145D5A" w14:textId="0F6A7846" w:rsidR="00781185" w:rsidRDefault="00781185" w:rsidP="00781185">
      <w:pPr>
        <w:spacing w:after="0"/>
        <w:rPr>
          <w:lang w:val="en-US"/>
        </w:rPr>
      </w:pPr>
      <w:r>
        <w:rPr>
          <w:lang w:val="en-US"/>
        </w:rPr>
        <w:t xml:space="preserve">For the FR2-1 Indoor Office scenario, different payload sizes were considered and discussed in </w:t>
      </w:r>
      <w:r>
        <w:rPr>
          <w:lang w:val="en-US"/>
        </w:rPr>
        <w:fldChar w:fldCharType="begin"/>
      </w:r>
      <w:r>
        <w:rPr>
          <w:lang w:val="en-US"/>
        </w:rPr>
        <w:instrText xml:space="preserve"> REF _Ref131755174 \r \h </w:instrText>
      </w:r>
      <w:r>
        <w:rPr>
          <w:lang w:val="en-US"/>
        </w:rPr>
      </w:r>
      <w:r>
        <w:rPr>
          <w:lang w:val="en-US"/>
        </w:rPr>
        <w:fldChar w:fldCharType="separate"/>
      </w:r>
      <w:r>
        <w:rPr>
          <w:lang w:val="en-US"/>
        </w:rPr>
        <w:t>[2]</w:t>
      </w:r>
      <w:r>
        <w:rPr>
          <w:lang w:val="en-US"/>
        </w:rPr>
        <w:fldChar w:fldCharType="end"/>
      </w:r>
      <w:r>
        <w:rPr>
          <w:lang w:val="en-US"/>
        </w:rPr>
        <w:t xml:space="preserve">, Here, we focus on the discussion of the scenario with small payload size (1 kB in the UL and 4 kB in the DL). </w:t>
      </w:r>
      <w:r w:rsidR="00E47FB2">
        <w:rPr>
          <w:lang w:val="en-US"/>
        </w:rPr>
        <w:t>We focus the results on SBFD Alt-4 (XXXXX)</w:t>
      </w:r>
    </w:p>
    <w:p w14:paraId="1CA3F99E" w14:textId="77777777" w:rsidR="00781185" w:rsidRDefault="00781185" w:rsidP="00781185">
      <w:pPr>
        <w:spacing w:after="0"/>
        <w:rPr>
          <w:lang w:val="en-US"/>
        </w:rPr>
      </w:pPr>
    </w:p>
    <w:p w14:paraId="565332D2" w14:textId="275FAE07" w:rsidR="00781185" w:rsidRDefault="00781185" w:rsidP="00781185">
      <w:pPr>
        <w:spacing w:after="0"/>
        <w:rPr>
          <w:lang w:val="en-US"/>
        </w:rPr>
      </w:pPr>
      <w:r w:rsidRPr="002B6DA7">
        <w:rPr>
          <w:lang w:val="en-US"/>
        </w:rPr>
        <w:t xml:space="preserve">Similar as for the FR1 </w:t>
      </w:r>
      <w:proofErr w:type="spellStart"/>
      <w:r w:rsidRPr="002B6DA7">
        <w:rPr>
          <w:lang w:val="en-US"/>
        </w:rPr>
        <w:t>InH</w:t>
      </w:r>
      <w:proofErr w:type="spellEnd"/>
      <w:r w:rsidRPr="002B6DA7">
        <w:rPr>
          <w:lang w:val="en-US"/>
        </w:rPr>
        <w:t xml:space="preserve"> scenario, the SBFD benefits are highly visible in UL for the small payload </w:t>
      </w:r>
      <w:r>
        <w:rPr>
          <w:lang w:val="en-US"/>
        </w:rPr>
        <w:t>size.</w:t>
      </w:r>
      <w:r w:rsidRPr="002B6DA7">
        <w:rPr>
          <w:lang w:val="en-US"/>
        </w:rPr>
        <w:t xml:space="preserve"> Both the UL UPT and the UL packet latency are improved. The reason for this is a combination of the following: good link budget that results in high SINR, sufficient self-interference isolation, 100% availability of UL resources at any SBFD slot and UL packets mostly fitting into 1 radio slot.</w:t>
      </w:r>
    </w:p>
    <w:p w14:paraId="5EBD11D4" w14:textId="6EB1510B" w:rsidR="00781185" w:rsidRDefault="00781185" w:rsidP="00781185">
      <w:pPr>
        <w:spacing w:after="0"/>
        <w:rPr>
          <w:lang w:val="en-US"/>
        </w:rPr>
      </w:pPr>
    </w:p>
    <w:p w14:paraId="0D81A9B7" w14:textId="774BCDA6" w:rsidR="00781185" w:rsidRDefault="00781185" w:rsidP="00781185">
      <w:pPr>
        <w:spacing w:after="0"/>
        <w:rPr>
          <w:lang w:val="en-US"/>
        </w:rPr>
      </w:pPr>
      <w:r w:rsidRPr="002B6DA7">
        <w:rPr>
          <w:lang w:val="en-US"/>
        </w:rPr>
        <w:t>In downlink</w:t>
      </w:r>
      <w:r>
        <w:rPr>
          <w:lang w:val="en-US"/>
        </w:rPr>
        <w:t>, as shown in</w:t>
      </w:r>
      <w:r w:rsidR="000C3071">
        <w:rPr>
          <w:lang w:val="en-US"/>
        </w:rPr>
        <w:t xml:space="preserve"> </w:t>
      </w:r>
      <w:r w:rsidR="00731B6C">
        <w:rPr>
          <w:lang w:val="en-US"/>
        </w:rPr>
        <w:fldChar w:fldCharType="begin"/>
      </w:r>
      <w:r w:rsidR="00731B6C">
        <w:rPr>
          <w:lang w:val="en-US"/>
        </w:rPr>
        <w:instrText xml:space="preserve"> REF _Ref142056650 \h </w:instrText>
      </w:r>
      <w:r w:rsidR="00731B6C">
        <w:rPr>
          <w:lang w:val="en-US"/>
        </w:rPr>
      </w:r>
      <w:r w:rsidR="00731B6C">
        <w:rPr>
          <w:lang w:val="en-US"/>
        </w:rPr>
        <w:fldChar w:fldCharType="separate"/>
      </w:r>
      <w:r w:rsidR="00731B6C">
        <w:t xml:space="preserve">Figure </w:t>
      </w:r>
      <w:r w:rsidR="00731B6C">
        <w:rPr>
          <w:noProof/>
        </w:rPr>
        <w:t>4</w:t>
      </w:r>
      <w:r w:rsidR="00731B6C">
        <w:rPr>
          <w:lang w:val="en-US"/>
        </w:rPr>
        <w:fldChar w:fldCharType="end"/>
      </w:r>
      <w:r w:rsidRPr="002B6DA7">
        <w:rPr>
          <w:lang w:val="en-US"/>
        </w:rPr>
        <w:t>, we noted that SBFD provides very similar performance DL UPT and DL packet latency for low and medium loads. The reason is that, in most of the cases, 1 slot is enough to transmit the 4 kB DL packet. The benefit of SBFD comes from the 100% availability of DL resource at any slot. At high loads, degradation is visible for SBFD due to the presence of inter-subband UE-to-UE CLI, whose power is higher than observed legacy DL interference. This is especially noticeable for those UEs with lowest SINR, and it is shown in the 5%-</w:t>
      </w:r>
      <w:proofErr w:type="spellStart"/>
      <w:r w:rsidRPr="002B6DA7">
        <w:rPr>
          <w:lang w:val="en-US"/>
        </w:rPr>
        <w:t>ile</w:t>
      </w:r>
      <w:proofErr w:type="spellEnd"/>
      <w:r w:rsidRPr="002B6DA7">
        <w:rPr>
          <w:lang w:val="en-US"/>
        </w:rPr>
        <w:t xml:space="preserve"> DL UPT.</w:t>
      </w:r>
    </w:p>
    <w:p w14:paraId="6A74B9F3" w14:textId="77777777" w:rsidR="00E47FB2" w:rsidRDefault="00E47FB2" w:rsidP="007F3F40">
      <w:pPr>
        <w:keepNext/>
        <w:spacing w:after="0"/>
        <w:jc w:val="center"/>
      </w:pPr>
      <w:r w:rsidRPr="00624775">
        <w:rPr>
          <w:b/>
          <w:bCs/>
          <w:noProof/>
        </w:rPr>
        <w:drawing>
          <wp:inline distT="0" distB="0" distL="0" distR="0" wp14:anchorId="4A3937E2" wp14:editId="1021B1F8">
            <wp:extent cx="5383161" cy="3666627"/>
            <wp:effectExtent l="0" t="0" r="8255" b="0"/>
            <wp:docPr id="65" name="Graphic 65">
              <a:extLst xmlns:a="http://schemas.openxmlformats.org/drawingml/2006/main">
                <a:ext uri="{FF2B5EF4-FFF2-40B4-BE49-F238E27FC236}">
                  <a16:creationId xmlns:a16="http://schemas.microsoft.com/office/drawing/2014/main" id="{3ADAD451-DF99-4FEC-9A52-CE68080D3F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3ADAD451-DF99-4FEC-9A52-CE68080D3F6B}"/>
                        </a:ext>
                      </a:extLst>
                    </pic:cNvPr>
                    <pic:cNvPicPr>
                      <a:picLocks noChangeAspect="1"/>
                    </pic:cNvPicPr>
                  </pic:nvPicPr>
                  <pic:blipFill rotWithShape="1">
                    <a:blip r:embed="rId18">
                      <a:extLst>
                        <a:ext uri="{96DAC541-7B7A-43D3-8B79-37D633B846F1}">
                          <asvg:svgBlip xmlns:asvg="http://schemas.microsoft.com/office/drawing/2016/SVG/main" r:embed="rId19"/>
                        </a:ext>
                      </a:extLst>
                    </a:blip>
                    <a:srcRect l="8648" r="8898"/>
                    <a:stretch/>
                  </pic:blipFill>
                  <pic:spPr>
                    <a:xfrm>
                      <a:off x="0" y="0"/>
                      <a:ext cx="5383161" cy="3666627"/>
                    </a:xfrm>
                    <a:prstGeom prst="rect">
                      <a:avLst/>
                    </a:prstGeom>
                  </pic:spPr>
                </pic:pic>
              </a:graphicData>
            </a:graphic>
          </wp:inline>
        </w:drawing>
      </w:r>
    </w:p>
    <w:p w14:paraId="696F0F83" w14:textId="77777777" w:rsidR="000F426C" w:rsidRDefault="00E47FB2" w:rsidP="000F426C">
      <w:pPr>
        <w:pStyle w:val="Caption"/>
        <w:jc w:val="center"/>
      </w:pPr>
      <w:bookmarkStart w:id="133" w:name="_Ref142056650"/>
      <w:r>
        <w:t xml:space="preserve">Figure </w:t>
      </w:r>
      <w:r>
        <w:fldChar w:fldCharType="begin"/>
      </w:r>
      <w:r>
        <w:instrText xml:space="preserve"> SEQ Figure \* ARABIC </w:instrText>
      </w:r>
      <w:r>
        <w:fldChar w:fldCharType="separate"/>
      </w:r>
      <w:r>
        <w:rPr>
          <w:noProof/>
        </w:rPr>
        <w:t>4</w:t>
      </w:r>
      <w:r>
        <w:fldChar w:fldCharType="end"/>
      </w:r>
      <w:bookmarkEnd w:id="133"/>
      <w:r w:rsidR="000F426C">
        <w:t xml:space="preserve"> - FR2-1 Indoor Office </w:t>
      </w:r>
      <w:r w:rsidR="000F426C" w:rsidRPr="002C1244">
        <w:t xml:space="preserve">DL and UL UPT </w:t>
      </w:r>
      <w:r w:rsidR="000F426C">
        <w:t xml:space="preserve">performance </w:t>
      </w:r>
      <w:r w:rsidR="000F426C" w:rsidRPr="002C1244">
        <w:t xml:space="preserve">with </w:t>
      </w:r>
      <w:r w:rsidR="000F426C">
        <w:t>small</w:t>
      </w:r>
      <w:r w:rsidR="000F426C" w:rsidRPr="002C1244">
        <w:t xml:space="preserve"> packet (</w:t>
      </w:r>
      <w:r w:rsidR="000F426C">
        <w:t xml:space="preserve">4 KB </w:t>
      </w:r>
      <w:r w:rsidR="000F426C" w:rsidRPr="002C1244">
        <w:t xml:space="preserve">for DL and </w:t>
      </w:r>
      <w:r w:rsidR="000F426C">
        <w:t>1KB</w:t>
      </w:r>
      <w:r w:rsidR="000F426C" w:rsidRPr="002C1244">
        <w:t xml:space="preserve"> for UL)</w:t>
      </w:r>
      <w:r w:rsidR="000F426C">
        <w:t>.</w:t>
      </w:r>
    </w:p>
    <w:p w14:paraId="244BDF5C" w14:textId="64B30CC6" w:rsidR="00E47FB2" w:rsidRDefault="00E47FB2" w:rsidP="007F3F40">
      <w:pPr>
        <w:pStyle w:val="Caption"/>
        <w:jc w:val="center"/>
        <w:rPr>
          <w:lang w:val="en-US"/>
        </w:rPr>
      </w:pPr>
    </w:p>
    <w:p w14:paraId="734FF85E" w14:textId="77777777" w:rsidR="001E06DA" w:rsidRDefault="001E06DA" w:rsidP="007F3F40">
      <w:pPr>
        <w:pStyle w:val="Observation"/>
        <w:spacing w:before="0" w:after="0"/>
      </w:pPr>
      <w:bookmarkStart w:id="134" w:name="_Toc142394770"/>
      <w:bookmarkStart w:id="135" w:name="_Toc142394866"/>
      <w:bookmarkStart w:id="136" w:name="_Toc142397611"/>
      <w:bookmarkStart w:id="137" w:name="_Toc142397709"/>
      <w:bookmarkStart w:id="138" w:name="_Toc142397916"/>
      <w:bookmarkStart w:id="139" w:name="_Toc142399642"/>
      <w:bookmarkStart w:id="140" w:name="_Toc142400728"/>
      <w:bookmarkStart w:id="141" w:name="_Toc142400827"/>
      <w:bookmarkStart w:id="142" w:name="_Toc142400925"/>
      <w:bookmarkStart w:id="143" w:name="_Toc142401035"/>
      <w:bookmarkStart w:id="144" w:name="_Toc142401208"/>
      <w:bookmarkStart w:id="145" w:name="_Toc142466553"/>
      <w:bookmarkStart w:id="146" w:name="_Toc142481172"/>
      <w:bookmarkStart w:id="147" w:name="_Toc142481986"/>
      <w:r>
        <w:t>For Deployment Case 1 FR2 Indoor Office scenario and small packet size:</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DF81194" w14:textId="77777777" w:rsidR="001E06DA" w:rsidRDefault="001E06DA" w:rsidP="00484644">
      <w:pPr>
        <w:pStyle w:val="Observation"/>
        <w:numPr>
          <w:ilvl w:val="0"/>
          <w:numId w:val="154"/>
        </w:numPr>
        <w:spacing w:before="0" w:after="0"/>
      </w:pPr>
      <w:bookmarkStart w:id="148" w:name="_Toc142394771"/>
      <w:bookmarkStart w:id="149" w:name="_Toc142394867"/>
      <w:bookmarkStart w:id="150" w:name="_Toc142397612"/>
      <w:bookmarkStart w:id="151" w:name="_Toc142397710"/>
      <w:bookmarkStart w:id="152" w:name="_Toc142397917"/>
      <w:bookmarkStart w:id="153" w:name="_Toc142399643"/>
      <w:bookmarkStart w:id="154" w:name="_Toc142400729"/>
      <w:bookmarkStart w:id="155" w:name="_Toc142400828"/>
      <w:bookmarkStart w:id="156" w:name="_Toc142400926"/>
      <w:bookmarkStart w:id="157" w:name="_Toc142401036"/>
      <w:bookmarkStart w:id="158" w:name="_Toc142401209"/>
      <w:bookmarkStart w:id="159" w:name="_Toc142466554"/>
      <w:bookmarkStart w:id="160" w:name="_Toc142481173"/>
      <w:bookmarkStart w:id="161" w:name="_Toc142481987"/>
      <w:r>
        <w:t>SBFD offers up to 50% UL throughput improvement for all load conditions.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t xml:space="preserve"> </w:t>
      </w:r>
    </w:p>
    <w:p w14:paraId="10C7361B" w14:textId="77777777" w:rsidR="001E06DA" w:rsidRDefault="001E06DA" w:rsidP="00484644">
      <w:pPr>
        <w:pStyle w:val="Observation"/>
        <w:numPr>
          <w:ilvl w:val="0"/>
          <w:numId w:val="153"/>
        </w:numPr>
        <w:spacing w:before="0" w:after="0"/>
      </w:pPr>
      <w:bookmarkStart w:id="162" w:name="_Toc142394772"/>
      <w:bookmarkStart w:id="163" w:name="_Toc142394868"/>
      <w:bookmarkStart w:id="164" w:name="_Toc142397613"/>
      <w:bookmarkStart w:id="165" w:name="_Toc142397711"/>
      <w:bookmarkStart w:id="166" w:name="_Toc142397918"/>
      <w:bookmarkStart w:id="167" w:name="_Toc142399644"/>
      <w:bookmarkStart w:id="168" w:name="_Toc142400730"/>
      <w:bookmarkStart w:id="169" w:name="_Toc142400829"/>
      <w:bookmarkStart w:id="170" w:name="_Toc142400927"/>
      <w:bookmarkStart w:id="171" w:name="_Toc142401037"/>
      <w:bookmarkStart w:id="172" w:name="_Toc142401210"/>
      <w:bookmarkStart w:id="173" w:name="_Toc142466555"/>
      <w:bookmarkStart w:id="174" w:name="_Toc142481174"/>
      <w:bookmarkStart w:id="175" w:name="_Toc142481988"/>
      <w:r>
        <w:t>In the DL direction, SBFD outperforms static TDD most of the time by a small margin of around 5%.</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237F01E4" w14:textId="77777777" w:rsidR="00781185" w:rsidRDefault="00781185" w:rsidP="00484644">
      <w:pPr>
        <w:pStyle w:val="Observation"/>
        <w:numPr>
          <w:ilvl w:val="0"/>
          <w:numId w:val="0"/>
        </w:numPr>
        <w:ind w:left="360"/>
      </w:pPr>
    </w:p>
    <w:p w14:paraId="2931FB37" w14:textId="77777777" w:rsidR="000B543D" w:rsidRPr="00484644" w:rsidRDefault="000B543D" w:rsidP="00484644">
      <w:pPr>
        <w:spacing w:after="0"/>
        <w:rPr>
          <w:bCs/>
          <w:u w:val="single"/>
        </w:rPr>
      </w:pPr>
    </w:p>
    <w:p w14:paraId="6FDA3758" w14:textId="274F41FC" w:rsidR="00BE486E" w:rsidRDefault="00BE486E">
      <w:pPr>
        <w:spacing w:after="0"/>
        <w:rPr>
          <w:b/>
          <w:bCs/>
          <w:u w:val="single"/>
          <w:lang w:val="en-US"/>
        </w:rPr>
      </w:pPr>
      <w:bookmarkStart w:id="176" w:name="_Toc142394773"/>
      <w:r w:rsidRPr="00484644">
        <w:rPr>
          <w:b/>
          <w:bCs/>
          <w:u w:val="single"/>
          <w:lang w:val="en-US"/>
        </w:rPr>
        <w:t>Dynamic SBFD</w:t>
      </w:r>
      <w:bookmarkEnd w:id="176"/>
    </w:p>
    <w:p w14:paraId="46C90514" w14:textId="3392B887" w:rsidR="007F438D" w:rsidRPr="00484644" w:rsidRDefault="007F438D">
      <w:pPr>
        <w:spacing w:after="0"/>
        <w:rPr>
          <w:u w:val="single"/>
        </w:rPr>
      </w:pPr>
    </w:p>
    <w:p w14:paraId="505B6E10" w14:textId="77777777" w:rsidR="000B543D" w:rsidRPr="008B2777" w:rsidRDefault="000B543D" w:rsidP="007F3F40">
      <w:pPr>
        <w:spacing w:after="0"/>
        <w:rPr>
          <w:i/>
          <w:u w:val="single"/>
        </w:rPr>
      </w:pPr>
    </w:p>
    <w:p w14:paraId="6F6B0690" w14:textId="77777777" w:rsidR="007F438D" w:rsidRDefault="006159CC" w:rsidP="00D50F2E">
      <w:pPr>
        <w:spacing w:after="0"/>
        <w:rPr>
          <w:bCs/>
          <w:iCs/>
        </w:rPr>
      </w:pPr>
      <w:bookmarkStart w:id="177" w:name="_Toc142394774"/>
      <w:r w:rsidRPr="008B2777">
        <w:rPr>
          <w:lang w:val="en-US"/>
        </w:rPr>
        <w:t>The final set of results presented here comprise</w:t>
      </w:r>
      <w:proofErr w:type="spellStart"/>
      <w:r>
        <w:rPr>
          <w:b/>
          <w:i/>
        </w:rPr>
        <w:t>s</w:t>
      </w:r>
      <w:proofErr w:type="spellEnd"/>
      <w:r w:rsidRPr="008B2777">
        <w:t xml:space="preserve"> the evaluation </w:t>
      </w:r>
      <w:r w:rsidR="00C363C6" w:rsidRPr="008B2777">
        <w:t>of</w:t>
      </w:r>
      <w:r w:rsidRPr="008B2777">
        <w:t xml:space="preserve"> </w:t>
      </w:r>
      <w:r w:rsidRPr="008B2777">
        <w:rPr>
          <w:b/>
        </w:rPr>
        <w:t xml:space="preserve">dynamic SBFD in an FR1 indoor office </w:t>
      </w:r>
      <w:proofErr w:type="gramStart"/>
      <w:r w:rsidRPr="008B2777">
        <w:rPr>
          <w:b/>
        </w:rPr>
        <w:t>scenario</w:t>
      </w:r>
      <w:r w:rsidRPr="008B2777">
        <w:t>, and</w:t>
      </w:r>
      <w:proofErr w:type="gramEnd"/>
      <w:r w:rsidRPr="008B2777">
        <w:t xml:space="preserve"> compares it with the performance obtained with static TDD DDDSU, </w:t>
      </w:r>
      <w:r w:rsidR="004127F8" w:rsidRPr="008B2777">
        <w:t>semi-static SBFD Alt-</w:t>
      </w:r>
      <w:r w:rsidR="00092553" w:rsidRPr="008B2777">
        <w:t>2</w:t>
      </w:r>
      <w:r w:rsidR="004127F8" w:rsidRPr="008B2777">
        <w:t xml:space="preserve"> and dynamic TDD. </w:t>
      </w:r>
    </w:p>
    <w:p w14:paraId="442F9DFB" w14:textId="77777777" w:rsidR="007F438D" w:rsidRDefault="007F438D" w:rsidP="00D50F2E">
      <w:pPr>
        <w:spacing w:after="0"/>
        <w:rPr>
          <w:bCs/>
          <w:iCs/>
        </w:rPr>
      </w:pPr>
    </w:p>
    <w:p w14:paraId="51AAF3AA" w14:textId="1ABC8320" w:rsidR="007F438D" w:rsidRDefault="007F438D" w:rsidP="00D50F2E">
      <w:pPr>
        <w:spacing w:after="0"/>
        <w:rPr>
          <w:bCs/>
          <w:iCs/>
        </w:rPr>
      </w:pPr>
      <w:r>
        <w:rPr>
          <w:bCs/>
          <w:iCs/>
        </w:rPr>
        <w:t xml:space="preserve">The following was agreed in RAN1 #112: </w:t>
      </w:r>
    </w:p>
    <w:p w14:paraId="324104E0" w14:textId="77777777" w:rsidR="007F438D" w:rsidRDefault="007F438D" w:rsidP="00D50F2E">
      <w:pPr>
        <w:spacing w:after="0"/>
        <w:rPr>
          <w:bCs/>
          <w:iCs/>
        </w:rPr>
      </w:pPr>
    </w:p>
    <w:tbl>
      <w:tblPr>
        <w:tblStyle w:val="TableGrid"/>
        <w:tblW w:w="0" w:type="auto"/>
        <w:tblLook w:val="04A0" w:firstRow="1" w:lastRow="0" w:firstColumn="1" w:lastColumn="0" w:noHBand="0" w:noVBand="1"/>
      </w:tblPr>
      <w:tblGrid>
        <w:gridCol w:w="9629"/>
      </w:tblGrid>
      <w:tr w:rsidR="006F18F1" w14:paraId="2AFB2C7F" w14:textId="77777777">
        <w:tc>
          <w:tcPr>
            <w:tcW w:w="9629" w:type="dxa"/>
          </w:tcPr>
          <w:p w14:paraId="461A5DE0" w14:textId="77777777" w:rsidR="006F18F1" w:rsidRDefault="006F18F1">
            <w:pPr>
              <w:spacing w:after="120"/>
              <w:jc w:val="both"/>
              <w:rPr>
                <w:rFonts w:ascii="Times" w:eastAsia="Times New Roman" w:hAnsi="Times" w:cs="Times"/>
              </w:rPr>
            </w:pPr>
            <w:r w:rsidRPr="00CF1A6B">
              <w:rPr>
                <w:rFonts w:ascii="Times" w:eastAsia="Times New Roman" w:hAnsi="Times" w:cs="Times"/>
                <w:highlight w:val="green"/>
              </w:rPr>
              <w:t>Agreement</w:t>
            </w:r>
            <w:r>
              <w:rPr>
                <w:rFonts w:ascii="Times" w:eastAsia="Times New Roman" w:hAnsi="Times" w:cs="Times"/>
              </w:rPr>
              <w:t xml:space="preserve">: </w:t>
            </w:r>
          </w:p>
          <w:p w14:paraId="7C902F57" w14:textId="77777777" w:rsidR="006F18F1" w:rsidRPr="0095100D" w:rsidRDefault="006F18F1">
            <w:pPr>
              <w:spacing w:after="120"/>
              <w:jc w:val="both"/>
              <w:rPr>
                <w:rFonts w:ascii="Times" w:eastAsia="Times New Roman" w:hAnsi="Times" w:cs="Times"/>
              </w:rPr>
            </w:pPr>
            <w:r w:rsidRPr="0095100D">
              <w:rPr>
                <w:rFonts w:ascii="Times" w:eastAsia="Times New Roman" w:hAnsi="Times" w:cs="Times"/>
              </w:rPr>
              <w:t>For dynamic SBFD,</w:t>
            </w:r>
          </w:p>
          <w:p w14:paraId="42751C0F"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 xml:space="preserve">For SBFD-aware UEs, further study whether DL receptions outside semi-statically configured DL subband(s) are allowed or not in a symbol configured as DL in </w:t>
            </w:r>
            <w:r w:rsidRPr="0095100D">
              <w:rPr>
                <w:rFonts w:ascii="Times" w:eastAsia="Times New Roman" w:hAnsi="Times" w:cs="Times"/>
                <w:i/>
              </w:rPr>
              <w:t>TDD-UL-DL-</w:t>
            </w:r>
            <w:proofErr w:type="spellStart"/>
            <w:r w:rsidRPr="0095100D">
              <w:rPr>
                <w:rFonts w:ascii="Times" w:eastAsia="Times New Roman" w:hAnsi="Times" w:cs="Times"/>
                <w:i/>
              </w:rPr>
              <w:t>ConfigCommon</w:t>
            </w:r>
            <w:proofErr w:type="spellEnd"/>
            <w:r w:rsidRPr="0095100D">
              <w:rPr>
                <w:rFonts w:ascii="Times" w:eastAsia="Times New Roman" w:hAnsi="Times" w:cs="Times"/>
              </w:rPr>
              <w:t xml:space="preserve"> based on the following options:</w:t>
            </w:r>
          </w:p>
          <w:p w14:paraId="21C2443E"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Option 1 (semi-static): DL receptions outside semi-statically configured DL subband(s) are not allowed</w:t>
            </w:r>
          </w:p>
          <w:p w14:paraId="34C0BB5E"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 xml:space="preserve">Option 2: DL receptions outside semi-statically configured DL subband(s) are allowed </w:t>
            </w:r>
          </w:p>
          <w:p w14:paraId="60E0CB81"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 xml:space="preserve">For SBFD-aware UEs, further study whether DL receptions outside semi-statically configured DL subband(s) and UL transmissions outside semi-statically configured UL subband are allowed or not in the symbol configured as flexible in </w:t>
            </w:r>
            <w:r w:rsidRPr="0095100D">
              <w:rPr>
                <w:rFonts w:ascii="Times" w:eastAsia="Times New Roman" w:hAnsi="Times" w:cs="Times"/>
                <w:i/>
              </w:rPr>
              <w:t>TDD-UL-DL-</w:t>
            </w:r>
            <w:proofErr w:type="spellStart"/>
            <w:r w:rsidRPr="0095100D">
              <w:rPr>
                <w:rFonts w:ascii="Times" w:eastAsia="Times New Roman" w:hAnsi="Times" w:cs="Times"/>
                <w:i/>
              </w:rPr>
              <w:t>ConfigCommon</w:t>
            </w:r>
            <w:proofErr w:type="spellEnd"/>
            <w:r w:rsidRPr="0095100D">
              <w:rPr>
                <w:rFonts w:ascii="Times" w:eastAsia="Times New Roman" w:hAnsi="Times" w:cs="Times"/>
              </w:rPr>
              <w:t xml:space="preserve"> based on the following options:</w:t>
            </w:r>
          </w:p>
          <w:p w14:paraId="2AEC0335"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Option 1 (semi-static): DL receptions outside semi-statically configured DL subband(s) are not allowed and UL transmissions outside semi-statically configured UL subband are not allowed</w:t>
            </w:r>
          </w:p>
          <w:p w14:paraId="3B43DEF2"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 xml:space="preserve">Option 2: DL receptions outside semi-statically configured DL subband(s) are allowed </w:t>
            </w:r>
          </w:p>
          <w:p w14:paraId="35CCC9D3"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UL transmissions outside the semi-statically configured UL subbands are not allowed</w:t>
            </w:r>
          </w:p>
          <w:p w14:paraId="0C676A50" w14:textId="6BF9056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Option 3: DL receptions outside semi-statically configured DL subband(s) are allowed</w:t>
            </w:r>
          </w:p>
          <w:p w14:paraId="76663D8D" w14:textId="77777777" w:rsidR="006F18F1" w:rsidRPr="0095100D" w:rsidRDefault="006F18F1">
            <w:pPr>
              <w:spacing w:after="120"/>
              <w:jc w:val="both"/>
              <w:rPr>
                <w:rFonts w:ascii="Calibri" w:eastAsia="Times New Roman" w:hAnsi="Calibri" w:cs="Calibri"/>
                <w:sz w:val="22"/>
                <w:szCs w:val="22"/>
              </w:rPr>
            </w:pPr>
            <w:r w:rsidRPr="0095100D">
              <w:rPr>
                <w:rFonts w:ascii="Times" w:eastAsia="Times New Roman" w:hAnsi="Times" w:cs="Times"/>
              </w:rPr>
              <w:t>UL transmissions outside the semi-statically configured UL subbands are allowed</w:t>
            </w:r>
          </w:p>
          <w:p w14:paraId="4B5436CB" w14:textId="77777777" w:rsidR="006F18F1" w:rsidRPr="0095100D" w:rsidRDefault="006F18F1">
            <w:pPr>
              <w:spacing w:after="120"/>
              <w:jc w:val="both"/>
              <w:rPr>
                <w:rFonts w:ascii="Times" w:eastAsia="Times New Roman" w:hAnsi="Times" w:cs="Times"/>
              </w:rPr>
            </w:pPr>
            <w:r w:rsidRPr="0095100D">
              <w:rPr>
                <w:rFonts w:ascii="Times" w:eastAsia="Times New Roman" w:hAnsi="Times" w:cs="Times"/>
              </w:rPr>
              <w:t>Dynamic SBFD should be compared with dynamic TDD and/or semi-static SBFD in terms of performance, implementation complexity, switching latency.</w:t>
            </w:r>
          </w:p>
          <w:p w14:paraId="78C6EB3A" w14:textId="77777777" w:rsidR="006F18F1" w:rsidRPr="0095100D" w:rsidRDefault="006F18F1">
            <w:pPr>
              <w:spacing w:after="120"/>
              <w:jc w:val="both"/>
              <w:rPr>
                <w:rFonts w:ascii="Times" w:eastAsia="Times New Roman" w:hAnsi="Times" w:cs="Times"/>
              </w:rPr>
            </w:pPr>
            <w:r w:rsidRPr="0095100D">
              <w:rPr>
                <w:rFonts w:ascii="Times" w:eastAsia="Times New Roman" w:hAnsi="Times" w:cs="Times"/>
              </w:rPr>
              <w:t>For each option, additional conditions may apply to determine whether the option is applicable.</w:t>
            </w:r>
          </w:p>
          <w:p w14:paraId="023AF5FA" w14:textId="77777777" w:rsidR="006F18F1" w:rsidRDefault="006F18F1">
            <w:pPr>
              <w:spacing w:after="120"/>
              <w:jc w:val="both"/>
              <w:rPr>
                <w:lang w:eastAsia="zh-CN"/>
              </w:rPr>
            </w:pPr>
          </w:p>
        </w:tc>
      </w:tr>
    </w:tbl>
    <w:p w14:paraId="36D35889" w14:textId="77777777" w:rsidR="007F438D" w:rsidRDefault="007F438D" w:rsidP="00D50F2E">
      <w:pPr>
        <w:spacing w:after="0"/>
        <w:rPr>
          <w:bCs/>
          <w:iCs/>
        </w:rPr>
      </w:pPr>
    </w:p>
    <w:p w14:paraId="18F70EB2" w14:textId="77777777" w:rsidR="007F438D" w:rsidRDefault="007F438D" w:rsidP="00D50F2E">
      <w:pPr>
        <w:spacing w:after="0"/>
        <w:rPr>
          <w:bCs/>
          <w:iCs/>
        </w:rPr>
      </w:pPr>
    </w:p>
    <w:p w14:paraId="4D8732EB" w14:textId="42397679" w:rsidR="007F438D" w:rsidRDefault="007F438D" w:rsidP="00D50F2E">
      <w:pPr>
        <w:spacing w:after="0"/>
        <w:rPr>
          <w:bCs/>
          <w:iCs/>
        </w:rPr>
      </w:pPr>
    </w:p>
    <w:p w14:paraId="31507994" w14:textId="499A56C4" w:rsidR="002E19AE" w:rsidRPr="00C9272C" w:rsidRDefault="007C31CA" w:rsidP="00D50F2E">
      <w:pPr>
        <w:spacing w:after="0"/>
        <w:rPr>
          <w:bCs/>
          <w:iCs/>
        </w:rPr>
      </w:pPr>
      <w:r w:rsidRPr="00C9272C">
        <w:rPr>
          <w:bCs/>
          <w:iCs/>
        </w:rPr>
        <w:t>In the dynamic</w:t>
      </w:r>
      <w:r w:rsidR="00A752F7" w:rsidRPr="00C9272C">
        <w:rPr>
          <w:bCs/>
          <w:iCs/>
        </w:rPr>
        <w:t xml:space="preserve"> SBFD implementation, </w:t>
      </w:r>
      <w:r w:rsidR="002E19AE" w:rsidRPr="00C9272C">
        <w:rPr>
          <w:bCs/>
          <w:iCs/>
        </w:rPr>
        <w:t>‘XXXXU’ is assumed as the baseline SBFD frame structure</w:t>
      </w:r>
      <w:r w:rsidR="00B9679B">
        <w:rPr>
          <w:bCs/>
          <w:iCs/>
        </w:rPr>
        <w:t xml:space="preserve">, as in Option 2 </w:t>
      </w:r>
      <w:r w:rsidR="00453A19">
        <w:rPr>
          <w:bCs/>
          <w:iCs/>
        </w:rPr>
        <w:t>from the RAN1 agreement in RAN1 #112</w:t>
      </w:r>
      <w:r w:rsidR="002E19AE" w:rsidRPr="00C9272C">
        <w:rPr>
          <w:bCs/>
          <w:iCs/>
        </w:rPr>
        <w:t>. Prior to the start of each ‘X’ slot, in the absence of UL traffic and presence of DL traffic, the RB configuration for the upcoming slot is configured as DL-only (X</w:t>
      </w:r>
      <w:r w:rsidR="00201DFA" w:rsidRPr="00C9272C">
        <w:rPr>
          <w:bCs/>
          <w:iCs/>
        </w:rPr>
        <w:t xml:space="preserve"> </w:t>
      </w:r>
      <m:oMath>
        <m:r>
          <m:rPr>
            <m:sty m:val="b"/>
          </m:rPr>
          <w:rPr>
            <w:rFonts w:ascii="Cambria Math" w:hAnsi="Cambria Math" w:hint="eastAsia"/>
          </w:rPr>
          <m:t>→</m:t>
        </m:r>
        <m:r>
          <m:rPr>
            <m:sty m:val="b"/>
          </m:rPr>
          <w:rPr>
            <w:rFonts w:ascii="Cambria Math" w:hAnsi="Cambria Math" w:hint="eastAsia"/>
          </w:rPr>
          <m:t xml:space="preserve"> </m:t>
        </m:r>
      </m:oMath>
      <w:r w:rsidR="00201DFA" w:rsidRPr="00C9272C">
        <w:rPr>
          <w:bCs/>
          <w:iCs/>
        </w:rPr>
        <w:t>D</w:t>
      </w:r>
      <w:r w:rsidR="002E19AE" w:rsidRPr="00C9272C">
        <w:rPr>
          <w:bCs/>
          <w:iCs/>
        </w:rPr>
        <w:t>). Otherwise, ‘X’ corresponds to a SBFD slot with &lt;ND, NU, NG &gt;=&lt;104, 55, 5&gt;; the UL/DL ratio in SBFD slot is fixed regardless of the traffic volume.</w:t>
      </w:r>
      <w:bookmarkEnd w:id="177"/>
    </w:p>
    <w:p w14:paraId="0B93ABC8" w14:textId="67C9AD8D" w:rsidR="00BE486E" w:rsidRPr="00D075AA" w:rsidRDefault="002E19AE" w:rsidP="00D50F2E">
      <w:pPr>
        <w:spacing w:after="0"/>
        <w:rPr>
          <w:bCs/>
          <w:iCs/>
        </w:rPr>
      </w:pPr>
      <w:bookmarkStart w:id="178" w:name="_Toc142394775"/>
      <w:r w:rsidRPr="00C9272C">
        <w:rPr>
          <w:bCs/>
          <w:iCs/>
          <w:lang w:val="en-US"/>
        </w:rPr>
        <w:t>This</w:t>
      </w:r>
      <w:r w:rsidRPr="00C9272C">
        <w:rPr>
          <w:bCs/>
          <w:iCs/>
        </w:rPr>
        <w:t xml:space="preserve"> implementation corresponds to the case where a SBFD system with XXXXU </w:t>
      </w:r>
      <w:proofErr w:type="gramStart"/>
      <w:r w:rsidRPr="00C9272C">
        <w:rPr>
          <w:bCs/>
          <w:iCs/>
        </w:rPr>
        <w:t>can</w:t>
      </w:r>
      <w:proofErr w:type="gramEnd"/>
      <w:r w:rsidRPr="00C9272C">
        <w:rPr>
          <w:bCs/>
          <w:iCs/>
        </w:rPr>
        <w:t xml:space="preserve"> fallback to using DL heavy subframes as in legacy TDD (e.g. DDDDU is used in the absence of UL traffic during four consecutive slots).</w:t>
      </w:r>
      <w:bookmarkEnd w:id="178"/>
    </w:p>
    <w:p w14:paraId="045655B9" w14:textId="77777777" w:rsidR="00D50F2E" w:rsidRPr="00D075AA" w:rsidRDefault="00D50F2E" w:rsidP="00C9272C">
      <w:pPr>
        <w:spacing w:after="0"/>
        <w:rPr>
          <w:bCs/>
          <w:iCs/>
        </w:rPr>
      </w:pPr>
    </w:p>
    <w:p w14:paraId="1658AC05" w14:textId="11FA7DC4" w:rsidR="00A752F7" w:rsidRPr="00D075AA" w:rsidRDefault="008262A7" w:rsidP="00C9272C">
      <w:pPr>
        <w:spacing w:after="0"/>
        <w:rPr>
          <w:bCs/>
          <w:iCs/>
        </w:rPr>
      </w:pPr>
      <w:bookmarkStart w:id="179" w:name="_Toc142394776"/>
      <w:r w:rsidRPr="00C9272C">
        <w:rPr>
          <w:bCs/>
          <w:iCs/>
          <w:lang w:val="en-US"/>
        </w:rPr>
        <w:t xml:space="preserve">The </w:t>
      </w:r>
      <w:proofErr w:type="spellStart"/>
      <w:r w:rsidRPr="00C9272C">
        <w:rPr>
          <w:bCs/>
          <w:iCs/>
          <w:lang w:val="en-US"/>
        </w:rPr>
        <w:t>resul</w:t>
      </w:r>
      <w:r w:rsidRPr="00D075AA">
        <w:rPr>
          <w:bCs/>
          <w:iCs/>
        </w:rPr>
        <w:t>ts</w:t>
      </w:r>
      <w:proofErr w:type="spellEnd"/>
      <w:r w:rsidRPr="00D075AA">
        <w:rPr>
          <w:bCs/>
          <w:iCs/>
        </w:rPr>
        <w:t xml:space="preserve"> show that in UL, we see identical performance to semi-static SBFD XXXXU and over 70% improvement over semi-static SBFD XXXXX and static TDD DDDSU. In DL, the benefits of dynamic SBFD come to light as it provides over 35% improvement compared to semi-static SBFD with XXXXU and 8% gain over semi-static XXXXX. In other words,</w:t>
      </w:r>
      <w:r w:rsidR="003B2582">
        <w:rPr>
          <w:bCs/>
          <w:iCs/>
        </w:rPr>
        <w:t xml:space="preserve"> dynamic SBFD Option 2</w:t>
      </w:r>
      <w:r w:rsidR="00B022C9">
        <w:rPr>
          <w:bCs/>
          <w:iCs/>
        </w:rPr>
        <w:t xml:space="preserve"> </w:t>
      </w:r>
      <w:r w:rsidRPr="00D075AA">
        <w:rPr>
          <w:bCs/>
          <w:iCs/>
        </w:rPr>
        <w:t xml:space="preserve">allows to significantly improve the UL performance to the same level as XXXXU without any penalty in DL performance. Note that some improvement over TDD DDDSU is observed in DL which is mainly a consequence of not </w:t>
      </w:r>
      <w:r w:rsidR="007850B6" w:rsidRPr="00D075AA">
        <w:rPr>
          <w:bCs/>
          <w:iCs/>
        </w:rPr>
        <w:t>modelling</w:t>
      </w:r>
      <w:r w:rsidRPr="00D075AA">
        <w:rPr>
          <w:bCs/>
          <w:iCs/>
        </w:rPr>
        <w:t xml:space="preserve"> the guard symbols between DL to UL transition in the XXXXU dynamic SBFD case.</w:t>
      </w:r>
      <w:bookmarkEnd w:id="179"/>
    </w:p>
    <w:p w14:paraId="37927388" w14:textId="0D3A4387" w:rsidR="00C92A57" w:rsidRDefault="00C92A57" w:rsidP="00C9272C">
      <w:pPr>
        <w:pStyle w:val="Observation"/>
      </w:pPr>
      <w:bookmarkStart w:id="180" w:name="_Toc142394777"/>
      <w:bookmarkStart w:id="181" w:name="_Toc142394869"/>
      <w:bookmarkStart w:id="182" w:name="_Toc142397614"/>
      <w:bookmarkStart w:id="183" w:name="_Toc142397712"/>
      <w:bookmarkStart w:id="184" w:name="_Toc142397919"/>
      <w:bookmarkStart w:id="185" w:name="_Toc142399645"/>
      <w:bookmarkStart w:id="186" w:name="_Toc142400731"/>
      <w:bookmarkStart w:id="187" w:name="_Toc142400830"/>
      <w:bookmarkStart w:id="188" w:name="_Toc142400928"/>
      <w:bookmarkStart w:id="189" w:name="_Toc142401038"/>
      <w:bookmarkStart w:id="190" w:name="_Toc142401211"/>
      <w:bookmarkStart w:id="191" w:name="_Toc142466556"/>
      <w:bookmarkStart w:id="192" w:name="_Toc142481175"/>
      <w:bookmarkStart w:id="193" w:name="_Toc142481989"/>
      <w:r>
        <w:t xml:space="preserve">The </w:t>
      </w:r>
      <w:r w:rsidR="00463218">
        <w:t xml:space="preserve">dynamic SBFD results in a FR-1 indoor office scenario show that </w:t>
      </w:r>
      <w:r w:rsidR="00385D4E">
        <w:t xml:space="preserve">dynamic SBFD </w:t>
      </w:r>
      <w:r w:rsidR="00616F48">
        <w:t xml:space="preserve">provides a DL performance improvement of 35% when compared to a semi-static SBFD </w:t>
      </w:r>
      <w:r w:rsidR="005371DB">
        <w:t>configuration</w:t>
      </w:r>
      <w:r w:rsidR="001D3FC8">
        <w:t xml:space="preserve"> (XXXX</w:t>
      </w:r>
      <w:r w:rsidR="003C3590">
        <w:t>U)</w:t>
      </w:r>
      <w:r w:rsidR="005371DB">
        <w:t xml:space="preserve">. In the UL, the results show that the performance of </w:t>
      </w:r>
      <w:r w:rsidR="00E0276C">
        <w:t xml:space="preserve">dynamic SBFD is comparable to the performance of </w:t>
      </w:r>
      <w:r w:rsidR="00F55F5E">
        <w:t>semi-static SBFD (XXXXU)</w:t>
      </w:r>
      <w:r w:rsidR="00362339">
        <w:t xml:space="preserve"> and provides over 70% improvement over semi-static SBFD XXXXX and static TDD DDDSU</w:t>
      </w:r>
      <w:r w:rsidR="006A1D27">
        <w:t>.</w:t>
      </w:r>
      <w:r w:rsidR="007850B6">
        <w:t xml:space="preserve"> </w:t>
      </w:r>
      <w:r w:rsidR="00864EFE">
        <w:t xml:space="preserve">In other words, dynamic SBFD provides comparable </w:t>
      </w:r>
      <w:r w:rsidR="001114CB">
        <w:t xml:space="preserve">UL </w:t>
      </w:r>
      <w:r w:rsidR="00864EFE">
        <w:t xml:space="preserve">performance </w:t>
      </w:r>
      <w:r w:rsidR="00291D2F">
        <w:t>to semi-static SBFD, but without any degradation to the DL performance, when compared to static TDD.</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00291D2F">
        <w:t xml:space="preserve"> </w:t>
      </w:r>
    </w:p>
    <w:p w14:paraId="2B847DEB" w14:textId="039CB346" w:rsidR="00247049" w:rsidRDefault="008A0BDF" w:rsidP="00247049">
      <w:pPr>
        <w:pStyle w:val="Observation"/>
      </w:pPr>
      <w:bookmarkStart w:id="194" w:name="_Toc142394778"/>
      <w:bookmarkStart w:id="195" w:name="_Toc142394870"/>
      <w:bookmarkStart w:id="196" w:name="_Toc142397615"/>
      <w:bookmarkStart w:id="197" w:name="_Toc142397713"/>
      <w:bookmarkStart w:id="198" w:name="_Toc142397920"/>
      <w:bookmarkStart w:id="199" w:name="_Toc142399646"/>
      <w:bookmarkStart w:id="200" w:name="_Toc142400732"/>
      <w:bookmarkStart w:id="201" w:name="_Toc142400831"/>
      <w:bookmarkStart w:id="202" w:name="_Toc142400929"/>
      <w:bookmarkStart w:id="203" w:name="_Toc142401039"/>
      <w:bookmarkStart w:id="204" w:name="_Toc142401212"/>
      <w:bookmarkStart w:id="205" w:name="_Toc142466557"/>
      <w:bookmarkStart w:id="206" w:name="_Toc142481176"/>
      <w:bookmarkStart w:id="207" w:name="_Toc142481990"/>
      <w:r>
        <w:t xml:space="preserve">The dynamic </w:t>
      </w:r>
      <w:r w:rsidR="00842AE8">
        <w:t xml:space="preserve">SBFD </w:t>
      </w:r>
      <w:r w:rsidR="00842A43">
        <w:t>results in a FR-1 indoor office scenario show that</w:t>
      </w:r>
      <w:r w:rsidR="00340E0F">
        <w:t xml:space="preserve"> in low load and medium load,</w:t>
      </w:r>
      <w:r w:rsidR="00F076A9">
        <w:t xml:space="preserve"> the DL average UPT of</w:t>
      </w:r>
      <w:r w:rsidR="00340E0F">
        <w:t xml:space="preserve"> Dynamic SBFD outperforms </w:t>
      </w:r>
      <w:r w:rsidR="00D35EE8">
        <w:t>D</w:t>
      </w:r>
      <w:r w:rsidR="00175738">
        <w:t>ynamic TDD</w:t>
      </w:r>
      <w:r w:rsidR="00D35EE8">
        <w:t xml:space="preserve">. When the UL </w:t>
      </w:r>
      <w:r w:rsidR="00BD0AB5">
        <w:t xml:space="preserve">average UPT is compared, </w:t>
      </w:r>
      <w:r w:rsidR="00CD63DF">
        <w:t>dynamic SBFD only outperforms dynamic TDD in high load.</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00175738">
        <w:t xml:space="preserve"> </w:t>
      </w:r>
    </w:p>
    <w:p w14:paraId="08826925" w14:textId="77777777" w:rsidR="00CB51F9" w:rsidRDefault="00CB51F9" w:rsidP="00C9272C">
      <w:pPr>
        <w:pStyle w:val="Observation"/>
        <w:numPr>
          <w:ilvl w:val="0"/>
          <w:numId w:val="0"/>
        </w:numPr>
      </w:pPr>
    </w:p>
    <w:p w14:paraId="68ACC80E" w14:textId="57707A4D" w:rsidR="003C4716" w:rsidRPr="008B2777" w:rsidRDefault="1B2D61F8" w:rsidP="00C9272C">
      <w:pPr>
        <w:pStyle w:val="B1"/>
        <w:rPr>
          <w:highlight w:val="yellow"/>
        </w:rPr>
      </w:pPr>
      <w:bookmarkStart w:id="208" w:name="_Toc142394779"/>
      <w:bookmarkStart w:id="209" w:name="_Toc142394871"/>
      <w:r>
        <w:rPr>
          <w:noProof/>
        </w:rPr>
        <w:drawing>
          <wp:inline distT="0" distB="0" distL="0" distR="0" wp14:anchorId="01EBFCFC" wp14:editId="08130949">
            <wp:extent cx="6005459" cy="31311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28A0092B-C50C-407E-A947-70E740481C1C}">
                          <a14:useLocalDpi xmlns:a14="http://schemas.microsoft.com/office/drawing/2010/main" val="0"/>
                        </a:ext>
                      </a:extLst>
                    </a:blip>
                    <a:srcRect l="9055" t="3965" r="8213" b="7195"/>
                    <a:stretch>
                      <a:fillRect/>
                    </a:stretch>
                  </pic:blipFill>
                  <pic:spPr>
                    <a:xfrm>
                      <a:off x="0" y="0"/>
                      <a:ext cx="6005459" cy="3131128"/>
                    </a:xfrm>
                    <a:prstGeom prst="rect">
                      <a:avLst/>
                    </a:prstGeom>
                  </pic:spPr>
                </pic:pic>
              </a:graphicData>
            </a:graphic>
          </wp:inline>
        </w:drawing>
      </w:r>
      <w:bookmarkEnd w:id="208"/>
      <w:bookmarkEnd w:id="209"/>
    </w:p>
    <w:p w14:paraId="252CCFB1" w14:textId="66166115" w:rsidR="00CE5340" w:rsidRPr="008B2777" w:rsidRDefault="003C4716" w:rsidP="008B2777">
      <w:pPr>
        <w:pStyle w:val="Caption"/>
        <w:jc w:val="center"/>
        <w:rPr>
          <w:b w:val="0"/>
        </w:rPr>
      </w:pPr>
      <w:r w:rsidRPr="004636F5">
        <w:t xml:space="preserve">Figure </w:t>
      </w:r>
      <w:r w:rsidRPr="004636F5">
        <w:fldChar w:fldCharType="begin"/>
      </w:r>
      <w:r w:rsidRPr="004636F5">
        <w:instrText xml:space="preserve"> SEQ Figure \* ARABIC </w:instrText>
      </w:r>
      <w:r w:rsidRPr="004636F5">
        <w:fldChar w:fldCharType="separate"/>
      </w:r>
      <w:r w:rsidRPr="004636F5">
        <w:rPr>
          <w:noProof/>
        </w:rPr>
        <w:t>5</w:t>
      </w:r>
      <w:r w:rsidRPr="004636F5">
        <w:fldChar w:fldCharType="end"/>
      </w:r>
      <w:r w:rsidRPr="004636F5">
        <w:t xml:space="preserve"> - FR1 Indoor Office DL and UL UPT performance with dynamic SBFD and other duplexing schemes. Large packet is assumed (0.5MB for DL and 0.125MB for UL).</w:t>
      </w:r>
    </w:p>
    <w:p w14:paraId="03BA4ACA" w14:textId="540E653B" w:rsidR="00422EE4" w:rsidRPr="00422EE4" w:rsidRDefault="00F10EA4" w:rsidP="005D3542">
      <w:pPr>
        <w:pStyle w:val="Heading2"/>
        <w:jc w:val="both"/>
        <w:rPr>
          <w:lang w:val="en-US"/>
        </w:rPr>
      </w:pPr>
      <w:r>
        <w:t xml:space="preserve">System design considerations </w:t>
      </w:r>
      <w:r>
        <w:rPr>
          <w:lang w:val="en-US"/>
        </w:rPr>
        <w:t>&amp; SBFD enhancements</w:t>
      </w:r>
    </w:p>
    <w:p w14:paraId="4FE86F09" w14:textId="77777777" w:rsidR="00153543" w:rsidRDefault="00153543" w:rsidP="001C18DB">
      <w:pPr>
        <w:jc w:val="both"/>
        <w:rPr>
          <w:lang w:val="en-US"/>
        </w:rPr>
      </w:pPr>
    </w:p>
    <w:p w14:paraId="2ED7D577" w14:textId="1F65EA7B" w:rsidR="00175612" w:rsidRPr="00DF7BE8" w:rsidRDefault="006808D8" w:rsidP="009D4845">
      <w:pPr>
        <w:pStyle w:val="Heading3"/>
        <w:rPr>
          <w:lang w:val="en-US"/>
        </w:rPr>
      </w:pPr>
      <w:r w:rsidRPr="00DF7BE8">
        <w:rPr>
          <w:lang w:val="en-US"/>
        </w:rPr>
        <w:t>S</w:t>
      </w:r>
      <w:r w:rsidR="00DA2251" w:rsidRPr="00DF7BE8">
        <w:rPr>
          <w:lang w:val="en-US"/>
        </w:rPr>
        <w:t xml:space="preserve">BFD configuration </w:t>
      </w:r>
    </w:p>
    <w:p w14:paraId="6ABC0F10" w14:textId="77777777" w:rsidR="00F845DB" w:rsidRDefault="00F845DB" w:rsidP="00BE7D51">
      <w:pPr>
        <w:spacing w:after="120"/>
        <w:jc w:val="both"/>
        <w:rPr>
          <w:bCs/>
          <w:color w:val="000000" w:themeColor="text1"/>
          <w:lang w:val="en-US"/>
        </w:rPr>
      </w:pPr>
    </w:p>
    <w:p w14:paraId="76AD82E4" w14:textId="08182753" w:rsidR="00C032D2" w:rsidRDefault="00D10EBD">
      <w:pPr>
        <w:pStyle w:val="Heading4"/>
        <w:rPr>
          <w:lang w:eastAsia="zh-CN"/>
        </w:rPr>
      </w:pPr>
      <w:r>
        <w:rPr>
          <w:lang w:eastAsia="zh-CN"/>
        </w:rPr>
        <w:t>Semi-static</w:t>
      </w:r>
      <w:r w:rsidR="0050279D">
        <w:rPr>
          <w:lang w:eastAsia="zh-CN"/>
        </w:rPr>
        <w:t xml:space="preserve"> </w:t>
      </w:r>
      <w:r w:rsidR="00205807">
        <w:rPr>
          <w:lang w:eastAsia="zh-CN"/>
        </w:rPr>
        <w:t xml:space="preserve">and dynamic </w:t>
      </w:r>
      <w:r w:rsidR="0050279D">
        <w:rPr>
          <w:lang w:eastAsia="zh-CN"/>
        </w:rPr>
        <w:t>SBFD</w:t>
      </w:r>
      <w:r>
        <w:rPr>
          <w:lang w:eastAsia="zh-CN"/>
        </w:rPr>
        <w:t xml:space="preserve"> configuration</w:t>
      </w:r>
    </w:p>
    <w:p w14:paraId="750DC43A" w14:textId="0B6D140C" w:rsidR="00CD3879" w:rsidRDefault="00CD3879" w:rsidP="003B3E89">
      <w:pPr>
        <w:spacing w:after="120"/>
        <w:jc w:val="both"/>
        <w:rPr>
          <w:b/>
          <w:bCs/>
          <w:lang w:eastAsia="zh-CN"/>
        </w:rPr>
      </w:pPr>
    </w:p>
    <w:p w14:paraId="6D34D0BC" w14:textId="4E4BE909" w:rsidR="00A14C0E" w:rsidRDefault="00A1266F" w:rsidP="006E5601">
      <w:pPr>
        <w:spacing w:after="120"/>
        <w:jc w:val="both"/>
        <w:rPr>
          <w:lang w:eastAsia="zh-CN"/>
        </w:rPr>
      </w:pPr>
      <w:r>
        <w:rPr>
          <w:lang w:eastAsia="zh-CN"/>
        </w:rPr>
        <w:t>One</w:t>
      </w:r>
      <w:r w:rsidR="006E5601" w:rsidRPr="00AE295E">
        <w:rPr>
          <w:lang w:eastAsia="zh-CN"/>
        </w:rPr>
        <w:t xml:space="preserve"> issue that was discussed in the past meetings was dynamic SBFD</w:t>
      </w:r>
      <w:r w:rsidR="006E5601">
        <w:rPr>
          <w:lang w:eastAsia="zh-CN"/>
        </w:rPr>
        <w:t xml:space="preserve">, in which the </w:t>
      </w:r>
      <w:r w:rsidR="00930F8F">
        <w:rPr>
          <w:lang w:eastAsia="zh-CN"/>
        </w:rPr>
        <w:t xml:space="preserve">semi-statically configured </w:t>
      </w:r>
      <w:r w:rsidR="006E5601">
        <w:rPr>
          <w:lang w:eastAsia="zh-CN"/>
        </w:rPr>
        <w:t xml:space="preserve">UL subband in a </w:t>
      </w:r>
      <w:r w:rsidR="00930F8F">
        <w:rPr>
          <w:lang w:eastAsia="zh-CN"/>
        </w:rPr>
        <w:t xml:space="preserve">symbol or </w:t>
      </w:r>
      <w:r w:rsidR="006E5601">
        <w:rPr>
          <w:lang w:eastAsia="zh-CN"/>
        </w:rPr>
        <w:t xml:space="preserve">slot </w:t>
      </w:r>
      <w:r w:rsidR="00930F8F">
        <w:rPr>
          <w:lang w:eastAsia="zh-CN"/>
        </w:rPr>
        <w:t xml:space="preserve">that is </w:t>
      </w:r>
      <w:r w:rsidR="006E5601">
        <w:rPr>
          <w:lang w:eastAsia="zh-CN"/>
        </w:rPr>
        <w:t xml:space="preserve">configured as DL or flexible </w:t>
      </w:r>
      <w:r w:rsidR="00930F8F">
        <w:rPr>
          <w:lang w:eastAsia="zh-CN"/>
        </w:rPr>
        <w:t xml:space="preserve">in </w:t>
      </w:r>
      <w:r w:rsidR="00930F8F" w:rsidRPr="00930F8F">
        <w:rPr>
          <w:iCs/>
        </w:rPr>
        <w:t>TDD-UL-DL-</w:t>
      </w:r>
      <w:proofErr w:type="spellStart"/>
      <w:r w:rsidR="00930F8F" w:rsidRPr="00930F8F">
        <w:rPr>
          <w:iCs/>
        </w:rPr>
        <w:t>ConfigCommon</w:t>
      </w:r>
      <w:proofErr w:type="spellEnd"/>
      <w:r w:rsidR="00930F8F">
        <w:rPr>
          <w:lang w:eastAsia="zh-CN"/>
        </w:rPr>
        <w:t xml:space="preserve"> </w:t>
      </w:r>
      <w:r w:rsidR="006E5601">
        <w:rPr>
          <w:lang w:eastAsia="zh-CN"/>
        </w:rPr>
        <w:t>can be dynamically disabled</w:t>
      </w:r>
      <w:r w:rsidR="009411D1">
        <w:rPr>
          <w:lang w:eastAsia="zh-CN"/>
        </w:rPr>
        <w:t>.</w:t>
      </w:r>
      <w:r w:rsidR="00930F8F">
        <w:rPr>
          <w:lang w:eastAsia="zh-CN"/>
        </w:rPr>
        <w:t xml:space="preserve"> </w:t>
      </w:r>
      <w:r w:rsidR="009411D1">
        <w:rPr>
          <w:lang w:eastAsia="zh-CN"/>
        </w:rPr>
        <w:t>I</w:t>
      </w:r>
      <w:r w:rsidR="00A14C0E">
        <w:rPr>
          <w:lang w:eastAsia="zh-CN"/>
        </w:rPr>
        <w:t>n RAN1 #112bis</w:t>
      </w:r>
      <w:r w:rsidR="006F273C">
        <w:rPr>
          <w:lang w:eastAsia="zh-CN"/>
        </w:rPr>
        <w:fldChar w:fldCharType="begin"/>
      </w:r>
      <w:r w:rsidR="006F273C">
        <w:rPr>
          <w:lang w:eastAsia="zh-CN"/>
        </w:rPr>
        <w:instrText xml:space="preserve"> REF _Ref134616467 \r \h </w:instrText>
      </w:r>
      <w:r w:rsidR="006F273C">
        <w:rPr>
          <w:lang w:eastAsia="zh-CN"/>
        </w:rPr>
      </w:r>
      <w:r w:rsidR="006F273C">
        <w:rPr>
          <w:lang w:eastAsia="zh-CN"/>
        </w:rPr>
        <w:fldChar w:fldCharType="separate"/>
      </w:r>
      <w:r w:rsidR="00C15552">
        <w:rPr>
          <w:lang w:eastAsia="zh-CN"/>
        </w:rPr>
        <w:t>[3]</w:t>
      </w:r>
      <w:r w:rsidR="006F273C">
        <w:rPr>
          <w:lang w:eastAsia="zh-CN"/>
        </w:rPr>
        <w:fldChar w:fldCharType="end"/>
      </w:r>
      <w:r w:rsidR="00A14C0E">
        <w:rPr>
          <w:lang w:eastAsia="zh-CN"/>
        </w:rPr>
        <w:t>, the following options were di</w:t>
      </w:r>
      <w:r w:rsidR="00A3710A">
        <w:rPr>
          <w:lang w:eastAsia="zh-CN"/>
        </w:rPr>
        <w:t xml:space="preserve">scussed, but not agreed: </w:t>
      </w:r>
    </w:p>
    <w:tbl>
      <w:tblPr>
        <w:tblStyle w:val="TableGrid"/>
        <w:tblW w:w="0" w:type="auto"/>
        <w:tblLook w:val="04A0" w:firstRow="1" w:lastRow="0" w:firstColumn="1" w:lastColumn="0" w:noHBand="0" w:noVBand="1"/>
      </w:tblPr>
      <w:tblGrid>
        <w:gridCol w:w="9629"/>
      </w:tblGrid>
      <w:tr w:rsidR="00A3710A" w14:paraId="457E9ABF" w14:textId="77777777" w:rsidTr="00A3710A">
        <w:tc>
          <w:tcPr>
            <w:tcW w:w="9629" w:type="dxa"/>
          </w:tcPr>
          <w:p w14:paraId="71D80DDE" w14:textId="32FE8997" w:rsidR="006F273C" w:rsidRDefault="006F273C" w:rsidP="006F273C">
            <w:pPr>
              <w:pStyle w:val="Heading3"/>
              <w:numPr>
                <w:ilvl w:val="2"/>
                <w:numId w:val="0"/>
              </w:numPr>
            </w:pPr>
            <w:r>
              <w:t>Proposal 1-8</w:t>
            </w:r>
            <w:r>
              <w:rPr>
                <w:rFonts w:hint="eastAsia"/>
              </w:rPr>
              <w:t>f</w:t>
            </w:r>
          </w:p>
          <w:p w14:paraId="089902BA" w14:textId="32FE8997" w:rsidR="006F273C" w:rsidRDefault="006F273C" w:rsidP="006F273C">
            <w:pPr>
              <w:spacing w:after="120"/>
              <w:rPr>
                <w:rFonts w:eastAsiaTheme="minorEastAsia"/>
                <w:b/>
                <w:lang w:eastAsia="zh-CN"/>
              </w:rPr>
            </w:pPr>
            <w:r>
              <w:rPr>
                <w:rFonts w:eastAsiaTheme="minorEastAsia"/>
                <w:b/>
                <w:lang w:eastAsia="zh-CN"/>
              </w:rPr>
              <w:t>Proposed Agreement:</w:t>
            </w:r>
          </w:p>
          <w:p w14:paraId="710A3D75" w14:textId="32FE8997" w:rsidR="006F273C" w:rsidRPr="00AC32EE" w:rsidRDefault="006F273C" w:rsidP="006F273C">
            <w:pPr>
              <w:spacing w:after="120"/>
              <w:rPr>
                <w:rFonts w:eastAsiaTheme="minorEastAsia"/>
                <w:lang w:eastAsia="zh-CN"/>
              </w:rPr>
            </w:pPr>
            <w:r w:rsidRPr="00AC32EE">
              <w:rPr>
                <w:rFonts w:eastAsiaTheme="minorEastAsia"/>
                <w:lang w:eastAsia="zh-CN"/>
              </w:rPr>
              <w:t xml:space="preserve">Study </w:t>
            </w:r>
            <w:r w:rsidRPr="00AC32EE">
              <w:rPr>
                <w:rFonts w:eastAsiaTheme="minorEastAsia" w:hint="eastAsia"/>
                <w:color w:val="FF0000"/>
                <w:lang w:eastAsia="zh-CN"/>
              </w:rPr>
              <w:t>at least</w:t>
            </w:r>
            <w:r>
              <w:rPr>
                <w:rFonts w:eastAsiaTheme="minorEastAsia" w:hint="eastAsia"/>
                <w:lang w:eastAsia="zh-CN"/>
              </w:rPr>
              <w:t xml:space="preserve"> </w:t>
            </w:r>
            <w:r w:rsidRPr="00AC32EE">
              <w:rPr>
                <w:rFonts w:eastAsiaTheme="minorEastAsia"/>
                <w:lang w:eastAsia="zh-CN"/>
              </w:rPr>
              <w:t>the following options for dynamic SBFD.</w:t>
            </w:r>
          </w:p>
          <w:p w14:paraId="30E4B1EF" w14:textId="32FE8997" w:rsidR="006F273C" w:rsidRPr="00AC32EE" w:rsidRDefault="006F273C" w:rsidP="006F273C">
            <w:pPr>
              <w:pStyle w:val="2"/>
              <w:numPr>
                <w:ilvl w:val="0"/>
                <w:numId w:val="129"/>
              </w:numPr>
              <w:spacing w:line="259" w:lineRule="auto"/>
              <w:jc w:val="both"/>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 xml:space="preserve">Option 1: Dynamic SBFD is achieved by </w:t>
            </w:r>
            <w:r w:rsidRPr="00AC32EE">
              <w:rPr>
                <w:rFonts w:ascii="Times New Roman" w:eastAsiaTheme="minorEastAsia" w:hAnsi="Times New Roman" w:cs="Times New Roman" w:hint="eastAsia"/>
                <w:color w:val="FF0000"/>
                <w:lang w:eastAsia="zh-CN"/>
              </w:rPr>
              <w:t>scheduling DCI which is used to indicate whether the RBs in</w:t>
            </w:r>
            <w:r>
              <w:rPr>
                <w:rFonts w:ascii="Times New Roman" w:eastAsiaTheme="minorEastAsia" w:hAnsi="Times New Roman" w:cs="Times New Roman" w:hint="eastAsia"/>
                <w:lang w:eastAsia="zh-CN"/>
              </w:rPr>
              <w:t xml:space="preserve"> </w:t>
            </w:r>
            <w:r w:rsidRPr="00AC32EE">
              <w:rPr>
                <w:rFonts w:ascii="Times New Roman" w:eastAsiaTheme="minorEastAsia" w:hAnsi="Times New Roman" w:cs="Times New Roman"/>
                <w:lang w:eastAsia="zh-CN"/>
              </w:rPr>
              <w:t xml:space="preserve">flexible subband </w:t>
            </w:r>
            <w:r w:rsidRPr="00AC32EE">
              <w:rPr>
                <w:rFonts w:ascii="Times New Roman" w:eastAsiaTheme="minorEastAsia" w:hAnsi="Times New Roman" w:cs="Times New Roman"/>
                <w:strike/>
                <w:color w:val="FF0000"/>
                <w:lang w:eastAsia="zh-CN"/>
              </w:rPr>
              <w:t>where RBs in flexible subband</w:t>
            </w:r>
            <w:r w:rsidRPr="00AC32EE">
              <w:rPr>
                <w:strike/>
                <w:color w:val="FF0000"/>
              </w:rPr>
              <w:t xml:space="preserve"> </w:t>
            </w:r>
            <w:proofErr w:type="gramStart"/>
            <w:r w:rsidRPr="00AC32EE">
              <w:rPr>
                <w:rFonts w:ascii="Times New Roman" w:eastAsiaTheme="minorEastAsia" w:hAnsi="Times New Roman" w:cs="Times New Roman"/>
                <w:strike/>
                <w:color w:val="FF0000"/>
                <w:lang w:eastAsia="zh-CN"/>
              </w:rPr>
              <w:t>can be dynamically</w:t>
            </w:r>
            <w:r w:rsidRPr="00AC32EE">
              <w:rPr>
                <w:rFonts w:ascii="Times New Roman" w:eastAsiaTheme="minorEastAsia" w:hAnsi="Times New Roman" w:cs="Times New Roman"/>
                <w:color w:val="FF0000"/>
                <w:lang w:eastAsia="zh-CN"/>
              </w:rPr>
              <w:t xml:space="preserve"> </w:t>
            </w:r>
            <w:r w:rsidRPr="00AC32EE">
              <w:rPr>
                <w:rFonts w:ascii="Times New Roman" w:eastAsiaTheme="minorEastAsia" w:hAnsi="Times New Roman" w:cs="Times New Roman" w:hint="eastAsia"/>
                <w:color w:val="FF0000"/>
                <w:lang w:eastAsia="zh-CN"/>
              </w:rPr>
              <w:t>are</w:t>
            </w:r>
            <w:proofErr w:type="gramEnd"/>
            <w:r>
              <w:rPr>
                <w:rFonts w:ascii="Times New Roman" w:eastAsiaTheme="minorEastAsia" w:hAnsi="Times New Roman" w:cs="Times New Roman" w:hint="eastAsia"/>
                <w:lang w:eastAsia="zh-CN"/>
              </w:rPr>
              <w:t xml:space="preserve"> </w:t>
            </w:r>
            <w:r w:rsidRPr="00AC32EE">
              <w:rPr>
                <w:rFonts w:ascii="Times New Roman" w:eastAsiaTheme="minorEastAsia" w:hAnsi="Times New Roman" w:cs="Times New Roman"/>
                <w:lang w:eastAsia="zh-CN"/>
              </w:rPr>
              <w:t xml:space="preserve">used for UL transmission </w:t>
            </w:r>
            <w:r w:rsidRPr="00B91AAA">
              <w:rPr>
                <w:rFonts w:ascii="Times New Roman" w:eastAsiaTheme="minorEastAsia" w:hAnsi="Times New Roman" w:cs="Times New Roman"/>
                <w:strike/>
                <w:color w:val="FF0000"/>
                <w:lang w:eastAsia="zh-CN"/>
              </w:rPr>
              <w:t>and</w:t>
            </w:r>
            <w:r w:rsidRPr="00B91AAA">
              <w:rPr>
                <w:rFonts w:ascii="Times New Roman" w:eastAsiaTheme="minorEastAsia" w:hAnsi="Times New Roman" w:cs="Times New Roman" w:hint="eastAsia"/>
                <w:color w:val="FF0000"/>
                <w:lang w:eastAsia="zh-CN"/>
              </w:rPr>
              <w:t xml:space="preserve"> or</w:t>
            </w:r>
            <w:r w:rsidRPr="00AC32EE">
              <w:rPr>
                <w:rFonts w:ascii="Times New Roman" w:eastAsiaTheme="minorEastAsia" w:hAnsi="Times New Roman" w:cs="Times New Roman"/>
                <w:lang w:eastAsia="zh-CN"/>
              </w:rPr>
              <w:t xml:space="preserve"> DL transmission. </w:t>
            </w:r>
          </w:p>
          <w:p w14:paraId="508ADE30" w14:textId="32FE8997" w:rsidR="006F273C" w:rsidRDefault="006F273C" w:rsidP="006F273C">
            <w:pPr>
              <w:pStyle w:val="2"/>
              <w:numPr>
                <w:ilvl w:val="1"/>
                <w:numId w:val="129"/>
              </w:numPr>
              <w:spacing w:line="259" w:lineRule="auto"/>
              <w:jc w:val="both"/>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FFS definition of flexible subband</w:t>
            </w:r>
            <w:r w:rsidRPr="00AC32EE">
              <w:rPr>
                <w:rFonts w:ascii="Times New Roman" w:eastAsiaTheme="minorEastAsia" w:hAnsi="Times New Roman" w:cs="Times New Roman" w:hint="eastAsia"/>
                <w:color w:val="FF0000"/>
                <w:lang w:eastAsia="zh-CN"/>
              </w:rPr>
              <w:t xml:space="preserve">, </w:t>
            </w:r>
            <w:proofErr w:type="gramStart"/>
            <w:r w:rsidRPr="00AC32EE">
              <w:rPr>
                <w:rFonts w:ascii="Times New Roman" w:eastAsiaTheme="minorEastAsia" w:hAnsi="Times New Roman" w:cs="Times New Roman" w:hint="eastAsia"/>
                <w:color w:val="FF0000"/>
                <w:lang w:eastAsia="zh-CN"/>
              </w:rPr>
              <w:t>e.g.</w:t>
            </w:r>
            <w:proofErr w:type="gramEnd"/>
            <w:r w:rsidRPr="00AC32EE">
              <w:rPr>
                <w:rFonts w:ascii="Times New Roman" w:eastAsiaTheme="minorEastAsia" w:hAnsi="Times New Roman" w:cs="Times New Roman" w:hint="eastAsia"/>
                <w:color w:val="FF0000"/>
                <w:lang w:eastAsia="zh-CN"/>
              </w:rPr>
              <w:t xml:space="preserve"> </w:t>
            </w:r>
            <w:r w:rsidRPr="00591535">
              <w:rPr>
                <w:rFonts w:ascii="Times New Roman" w:eastAsiaTheme="minorEastAsia" w:hAnsi="Times New Roman" w:cs="Times New Roman"/>
                <w:color w:val="FF0000"/>
                <w:lang w:eastAsia="zh-CN"/>
              </w:rPr>
              <w:t>flexible subband is defined as 1 RB or a set of consecutive flexible RBs, which can be used for UL transmission, DL transmission, and guard band</w:t>
            </w:r>
            <w:r w:rsidRPr="00AC32EE">
              <w:rPr>
                <w:rFonts w:ascii="Times New Roman" w:eastAsiaTheme="minorEastAsia" w:hAnsi="Times New Roman" w:cs="Times New Roman"/>
                <w:lang w:eastAsia="zh-CN"/>
              </w:rPr>
              <w:t xml:space="preserve"> </w:t>
            </w:r>
          </w:p>
          <w:p w14:paraId="7A7AB266" w14:textId="32FE8997" w:rsidR="006F273C" w:rsidRPr="00AC32EE" w:rsidRDefault="006F273C" w:rsidP="006F273C">
            <w:pPr>
              <w:pStyle w:val="2"/>
              <w:numPr>
                <w:ilvl w:val="1"/>
                <w:numId w:val="129"/>
              </w:numPr>
              <w:spacing w:line="259" w:lineRule="auto"/>
              <w:jc w:val="both"/>
              <w:rPr>
                <w:rFonts w:ascii="Times New Roman" w:eastAsiaTheme="minorEastAsia" w:hAnsi="Times New Roman" w:cs="Times New Roman"/>
                <w:lang w:eastAsia="zh-CN"/>
              </w:rPr>
            </w:pPr>
            <w:r w:rsidRPr="00B91AAA">
              <w:rPr>
                <w:rFonts w:ascii="Times New Roman" w:eastAsiaTheme="minorEastAsia" w:hAnsi="Times New Roman" w:cs="Times New Roman"/>
                <w:color w:val="FF0000"/>
                <w:lang w:eastAsia="zh-CN"/>
              </w:rPr>
              <w:t>FFS benefit of introducing flexible subband in addition to UL/DL subbands</w:t>
            </w:r>
          </w:p>
          <w:p w14:paraId="501AE086" w14:textId="32FE8997" w:rsidR="006F273C" w:rsidRPr="00AC32EE" w:rsidRDefault="006F273C" w:rsidP="006F273C">
            <w:pPr>
              <w:pStyle w:val="2"/>
              <w:numPr>
                <w:ilvl w:val="0"/>
                <w:numId w:val="129"/>
              </w:numPr>
              <w:spacing w:line="259" w:lineRule="auto"/>
              <w:jc w:val="both"/>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Option 2: Dynamic SBFD is achieved by scheduling DCI which is used to determine whether DL receptions outside</w:t>
            </w:r>
            <w:r w:rsidRPr="00AC32EE">
              <w:t xml:space="preserve"> </w:t>
            </w:r>
            <w:r w:rsidRPr="00AC32EE">
              <w:rPr>
                <w:rFonts w:ascii="Times New Roman" w:eastAsiaTheme="minorEastAsia" w:hAnsi="Times New Roman" w:cs="Times New Roman"/>
                <w:lang w:eastAsia="zh-CN"/>
              </w:rPr>
              <w:t>semi-statically configured DL subband and/or UL transmission outside</w:t>
            </w:r>
            <w:r w:rsidRPr="00AC32EE">
              <w:t xml:space="preserve"> </w:t>
            </w:r>
            <w:r w:rsidRPr="00AC32EE">
              <w:rPr>
                <w:rFonts w:ascii="Times New Roman" w:eastAsiaTheme="minorEastAsia" w:hAnsi="Times New Roman" w:cs="Times New Roman"/>
                <w:lang w:eastAsia="zh-CN"/>
              </w:rPr>
              <w:t>semi-statically configured UL subband</w:t>
            </w:r>
            <w:r w:rsidRPr="00AC32EE">
              <w:t xml:space="preserve"> </w:t>
            </w:r>
            <w:r w:rsidRPr="00AC32EE">
              <w:rPr>
                <w:rFonts w:ascii="Times New Roman" w:eastAsiaTheme="minorEastAsia" w:hAnsi="Times New Roman" w:cs="Times New Roman"/>
                <w:lang w:eastAsia="zh-CN"/>
              </w:rPr>
              <w:t>are allowed.</w:t>
            </w:r>
          </w:p>
          <w:p w14:paraId="32245D0E" w14:textId="32FE8997" w:rsidR="006F273C" w:rsidRPr="00AC32EE" w:rsidRDefault="006F273C" w:rsidP="006F273C">
            <w:pPr>
              <w:pStyle w:val="2"/>
              <w:numPr>
                <w:ilvl w:val="0"/>
                <w:numId w:val="129"/>
              </w:numPr>
              <w:spacing w:line="259" w:lineRule="auto"/>
              <w:jc w:val="both"/>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Option 3: Dynamic SBFD is achieved by non-scheduling DCI which indicates whether a symbol is SBFD symbol or not.</w:t>
            </w:r>
          </w:p>
          <w:p w14:paraId="6AABCF09" w14:textId="6F10C928" w:rsidR="00A3710A" w:rsidRPr="009411D1" w:rsidRDefault="006F273C" w:rsidP="009411D1">
            <w:pPr>
              <w:pStyle w:val="ListParagraph"/>
              <w:ind w:left="0"/>
              <w:rPr>
                <w:rFonts w:eastAsiaTheme="minorEastAsia"/>
                <w:sz w:val="22"/>
                <w:szCs w:val="22"/>
                <w:lang w:val="en-US"/>
              </w:rPr>
            </w:pPr>
            <w:r w:rsidRPr="002E666E">
              <w:rPr>
                <w:rFonts w:eastAsiaTheme="minorEastAsia"/>
                <w:sz w:val="18"/>
                <w:szCs w:val="18"/>
                <w:lang w:val="en-US"/>
              </w:rPr>
              <w:t xml:space="preserve">Note: </w:t>
            </w:r>
            <w:proofErr w:type="spellStart"/>
            <w:proofErr w:type="gramStart"/>
            <w:r w:rsidRPr="002E666E">
              <w:rPr>
                <w:rFonts w:eastAsiaTheme="minorEastAsia"/>
                <w:sz w:val="18"/>
                <w:szCs w:val="18"/>
              </w:rPr>
              <w:t>whether</w:t>
            </w:r>
            <w:proofErr w:type="spellEnd"/>
            <w:r w:rsidRPr="002E666E">
              <w:rPr>
                <w:rFonts w:eastAsiaTheme="minorEastAsia"/>
                <w:sz w:val="18"/>
                <w:szCs w:val="18"/>
              </w:rPr>
              <w:t xml:space="preserve"> </w:t>
            </w:r>
            <w:proofErr w:type="spellStart"/>
            <w:r w:rsidRPr="002E666E">
              <w:rPr>
                <w:rFonts w:eastAsiaTheme="minorEastAsia"/>
                <w:sz w:val="18"/>
                <w:szCs w:val="18"/>
              </w:rPr>
              <w:t>or</w:t>
            </w:r>
            <w:proofErr w:type="spellEnd"/>
            <w:r w:rsidRPr="002E666E">
              <w:rPr>
                <w:rFonts w:eastAsiaTheme="minorEastAsia"/>
                <w:sz w:val="18"/>
                <w:szCs w:val="18"/>
              </w:rPr>
              <w:t xml:space="preserve"> </w:t>
            </w:r>
            <w:proofErr w:type="spellStart"/>
            <w:r w:rsidRPr="002E666E">
              <w:rPr>
                <w:rFonts w:eastAsiaTheme="minorEastAsia"/>
                <w:sz w:val="18"/>
                <w:szCs w:val="18"/>
              </w:rPr>
              <w:t>not</w:t>
            </w:r>
            <w:proofErr w:type="spellEnd"/>
            <w:proofErr w:type="gramEnd"/>
            <w:r w:rsidRPr="002E666E">
              <w:rPr>
                <w:rFonts w:eastAsiaTheme="minorEastAsia"/>
                <w:sz w:val="18"/>
                <w:szCs w:val="18"/>
              </w:rPr>
              <w:t xml:space="preserve"> </w:t>
            </w:r>
            <w:proofErr w:type="spellStart"/>
            <w:r w:rsidRPr="002E666E">
              <w:rPr>
                <w:rFonts w:eastAsiaTheme="minorEastAsia"/>
                <w:sz w:val="18"/>
                <w:szCs w:val="18"/>
              </w:rPr>
              <w:t>dynamic</w:t>
            </w:r>
            <w:proofErr w:type="spellEnd"/>
            <w:r w:rsidRPr="002E666E">
              <w:rPr>
                <w:rFonts w:eastAsiaTheme="minorEastAsia"/>
                <w:sz w:val="18"/>
                <w:szCs w:val="18"/>
              </w:rPr>
              <w:t xml:space="preserve"> SBFD is </w:t>
            </w:r>
            <w:proofErr w:type="spellStart"/>
            <w:r w:rsidRPr="002E666E">
              <w:rPr>
                <w:rFonts w:eastAsiaTheme="minorEastAsia"/>
                <w:sz w:val="18"/>
                <w:szCs w:val="18"/>
              </w:rPr>
              <w:t>beneficial</w:t>
            </w:r>
            <w:proofErr w:type="spellEnd"/>
            <w:r w:rsidRPr="002E666E">
              <w:rPr>
                <w:rFonts w:eastAsiaTheme="minorEastAsia"/>
                <w:sz w:val="18"/>
                <w:szCs w:val="18"/>
              </w:rPr>
              <w:t xml:space="preserve"> </w:t>
            </w:r>
            <w:proofErr w:type="spellStart"/>
            <w:r w:rsidRPr="002E666E">
              <w:rPr>
                <w:rFonts w:eastAsiaTheme="minorEastAsia"/>
                <w:sz w:val="18"/>
                <w:szCs w:val="18"/>
              </w:rPr>
              <w:t>from</w:t>
            </w:r>
            <w:proofErr w:type="spellEnd"/>
            <w:r w:rsidRPr="002E666E">
              <w:rPr>
                <w:rFonts w:eastAsiaTheme="minorEastAsia"/>
                <w:sz w:val="18"/>
                <w:szCs w:val="18"/>
              </w:rPr>
              <w:t xml:space="preserve"> a </w:t>
            </w:r>
            <w:proofErr w:type="spellStart"/>
            <w:r w:rsidRPr="002E666E">
              <w:rPr>
                <w:rFonts w:eastAsiaTheme="minorEastAsia"/>
                <w:sz w:val="18"/>
                <w:szCs w:val="18"/>
              </w:rPr>
              <w:t>performance</w:t>
            </w:r>
            <w:proofErr w:type="spellEnd"/>
            <w:r w:rsidRPr="002E666E">
              <w:rPr>
                <w:rFonts w:eastAsiaTheme="minorEastAsia"/>
                <w:sz w:val="18"/>
                <w:szCs w:val="18"/>
              </w:rPr>
              <w:t xml:space="preserve"> </w:t>
            </w:r>
            <w:proofErr w:type="spellStart"/>
            <w:r w:rsidRPr="002E666E">
              <w:rPr>
                <w:rFonts w:eastAsiaTheme="minorEastAsia"/>
                <w:sz w:val="18"/>
                <w:szCs w:val="18"/>
              </w:rPr>
              <w:t>perspective</w:t>
            </w:r>
            <w:proofErr w:type="spellEnd"/>
            <w:r w:rsidRPr="002E666E">
              <w:rPr>
                <w:rFonts w:eastAsiaTheme="minorEastAsia"/>
                <w:sz w:val="18"/>
                <w:szCs w:val="18"/>
              </w:rPr>
              <w:t xml:space="preserve"> is a </w:t>
            </w:r>
            <w:proofErr w:type="spellStart"/>
            <w:r w:rsidRPr="002E666E">
              <w:rPr>
                <w:rFonts w:eastAsiaTheme="minorEastAsia"/>
                <w:sz w:val="18"/>
                <w:szCs w:val="18"/>
              </w:rPr>
              <w:t>separate</w:t>
            </w:r>
            <w:proofErr w:type="spellEnd"/>
            <w:r w:rsidRPr="002E666E">
              <w:rPr>
                <w:rFonts w:eastAsiaTheme="minorEastAsia"/>
                <w:sz w:val="18"/>
                <w:szCs w:val="18"/>
              </w:rPr>
              <w:t xml:space="preserve"> </w:t>
            </w:r>
            <w:proofErr w:type="spellStart"/>
            <w:r w:rsidRPr="002E666E">
              <w:rPr>
                <w:rFonts w:eastAsiaTheme="minorEastAsia"/>
                <w:sz w:val="18"/>
                <w:szCs w:val="18"/>
              </w:rPr>
              <w:t>discussion</w:t>
            </w:r>
            <w:proofErr w:type="spellEnd"/>
          </w:p>
        </w:tc>
      </w:tr>
    </w:tbl>
    <w:p w14:paraId="2942A04F" w14:textId="77777777" w:rsidR="00A3710A" w:rsidRDefault="00A3710A" w:rsidP="006E5601">
      <w:pPr>
        <w:spacing w:after="120"/>
        <w:jc w:val="both"/>
        <w:rPr>
          <w:lang w:eastAsia="zh-CN"/>
        </w:rPr>
      </w:pPr>
    </w:p>
    <w:p w14:paraId="48F0E463" w14:textId="0F3D4333" w:rsidR="006E5601" w:rsidRDefault="006E5601" w:rsidP="006E5601">
      <w:pPr>
        <w:jc w:val="both"/>
        <w:rPr>
          <w:lang w:eastAsia="zh-CN"/>
        </w:rPr>
      </w:pPr>
      <w:r>
        <w:rPr>
          <w:lang w:eastAsia="zh-CN"/>
        </w:rPr>
        <w:t xml:space="preserve">In our view, dynamically disabling the UL subband </w:t>
      </w:r>
      <w:r>
        <w:rPr>
          <w:lang w:val="en-US"/>
        </w:rPr>
        <w:t xml:space="preserve">should be possible. </w:t>
      </w:r>
      <w:r>
        <w:rPr>
          <w:lang w:eastAsia="zh-CN"/>
        </w:rPr>
        <w:t>As shown in the first part of this document, SBFD operation degrades the DL throughput, due to the partial allocation of DL resources to UL. If dynamic SBFD configuration in time is not possible, there is a risk that the network won’t be able to adapt to varying traffic and load conditions.</w:t>
      </w:r>
      <w:r w:rsidRPr="00486656">
        <w:t xml:space="preserve"> </w:t>
      </w:r>
      <w:r w:rsidR="00486656">
        <w:t xml:space="preserve">It should </w:t>
      </w:r>
      <w:r w:rsidR="006F141A">
        <w:t>be</w:t>
      </w:r>
      <w:r w:rsidR="00486656">
        <w:t xml:space="preserve"> noted that disabling semi-statically configured UL subband in symbols configured as DL or Flexible in TDD-UL-DL-</w:t>
      </w:r>
      <w:proofErr w:type="spellStart"/>
      <w:r w:rsidR="00486656">
        <w:t>ConfigCommon</w:t>
      </w:r>
      <w:proofErr w:type="spellEnd"/>
      <w:r w:rsidR="00486656">
        <w:t xml:space="preserve"> corresponds to falling back to TDD, which is shown by several companies to provide, in specific circumstances, similar or even better performance</w:t>
      </w:r>
      <w:r w:rsidR="007850B6">
        <w:t xml:space="preserve"> </w:t>
      </w:r>
      <w:r w:rsidR="00486656">
        <w:t>as compared to SBFD</w:t>
      </w:r>
      <w:r>
        <w:rPr>
          <w:lang w:eastAsia="zh-CN"/>
        </w:rPr>
        <w:t xml:space="preserve"> </w:t>
      </w:r>
    </w:p>
    <w:p w14:paraId="5C768899" w14:textId="77C60F4A" w:rsidR="006E5601" w:rsidRPr="00223794" w:rsidRDefault="006E5601">
      <w:pPr>
        <w:pStyle w:val="Observation"/>
      </w:pPr>
      <w:bookmarkStart w:id="210" w:name="_Toc142394780"/>
      <w:bookmarkStart w:id="211" w:name="_Toc142394872"/>
      <w:bookmarkStart w:id="212" w:name="_Toc142397616"/>
      <w:bookmarkStart w:id="213" w:name="_Toc142397714"/>
      <w:bookmarkStart w:id="214" w:name="_Toc142397921"/>
      <w:bookmarkStart w:id="215" w:name="_Toc142399647"/>
      <w:bookmarkStart w:id="216" w:name="_Toc142400733"/>
      <w:bookmarkStart w:id="217" w:name="_Toc142400832"/>
      <w:bookmarkStart w:id="218" w:name="_Toc142400930"/>
      <w:bookmarkStart w:id="219" w:name="_Toc142401040"/>
      <w:bookmarkStart w:id="220" w:name="_Toc142401213"/>
      <w:bookmarkStart w:id="221" w:name="_Toc142466558"/>
      <w:bookmarkStart w:id="222" w:name="_Toc142481177"/>
      <w:bookmarkStart w:id="223" w:name="_Toc142481991"/>
      <w:r w:rsidRPr="00223794">
        <w:t>SBFD operation in symbols configured as DL improves the UL performance at the cost of DL performance. Dynamic adaptation of the frame structure</w:t>
      </w:r>
      <w:r w:rsidR="00570729" w:rsidRPr="00223794">
        <w:t xml:space="preserve"> based on traffic changing</w:t>
      </w:r>
      <w:r w:rsidRPr="00223794">
        <w:t>, for example, by converting SBFD symbols to DL-only, or allowing DL receptions outside the DL subband is beneficial, since it allows adaptation to the current traffic conditions</w:t>
      </w:r>
      <w:r w:rsidR="00EF44CD" w:rsidRPr="00223794">
        <w:t xml:space="preserve"> by </w:t>
      </w:r>
      <w:r w:rsidR="006E3AEE" w:rsidRPr="00223794">
        <w:t>dynamically falling back to TDD</w:t>
      </w:r>
      <w:r w:rsidRPr="00223794">
        <w: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223794">
        <w:t xml:space="preserve"> </w:t>
      </w:r>
    </w:p>
    <w:p w14:paraId="1126CCF1" w14:textId="1288B185" w:rsidR="00E339A8" w:rsidRPr="00223794" w:rsidRDefault="001B309C">
      <w:pPr>
        <w:pStyle w:val="Proposal"/>
      </w:pPr>
      <w:bookmarkStart w:id="224" w:name="_Toc142394781"/>
      <w:bookmarkStart w:id="225" w:name="_Toc142394873"/>
      <w:bookmarkStart w:id="226" w:name="_Toc142397617"/>
      <w:bookmarkStart w:id="227" w:name="_Toc142397715"/>
      <w:bookmarkStart w:id="228" w:name="_Toc142397922"/>
      <w:bookmarkStart w:id="229" w:name="_Toc142399648"/>
      <w:bookmarkStart w:id="230" w:name="_Toc142400734"/>
      <w:bookmarkStart w:id="231" w:name="_Toc142400833"/>
      <w:bookmarkStart w:id="232" w:name="_Toc142400931"/>
      <w:bookmarkStart w:id="233" w:name="_Toc142401041"/>
      <w:bookmarkStart w:id="234" w:name="_Toc142401214"/>
      <w:bookmarkStart w:id="235" w:name="_Toc142466559"/>
      <w:bookmarkStart w:id="236" w:name="_Toc142481178"/>
      <w:bookmarkStart w:id="237" w:name="_Toc142481992"/>
      <w:r w:rsidRPr="00223794">
        <w:t xml:space="preserve">Support dynamic </w:t>
      </w:r>
      <w:r w:rsidR="006F0ECB" w:rsidRPr="00223794">
        <w:t xml:space="preserve">indication </w:t>
      </w:r>
      <w:r w:rsidR="00BC3BEE" w:rsidRPr="00223794">
        <w:t xml:space="preserve">of </w:t>
      </w:r>
      <w:r w:rsidRPr="00223794">
        <w:t xml:space="preserve">SBFD </w:t>
      </w:r>
      <w:r w:rsidR="00BE56DE" w:rsidRPr="00223794">
        <w:t xml:space="preserve">subbands </w:t>
      </w:r>
      <w:r w:rsidRPr="00223794">
        <w:t>in time-domain</w:t>
      </w:r>
      <w:r w:rsidR="002E2EA1" w:rsidRPr="00223794">
        <w:t>.</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F7BB053" w14:textId="108A577E" w:rsidR="002E7AA9" w:rsidRDefault="00327161" w:rsidP="006E5601">
      <w:pPr>
        <w:jc w:val="both"/>
        <w:rPr>
          <w:lang w:eastAsia="zh-CN"/>
        </w:rPr>
      </w:pPr>
      <w:r>
        <w:rPr>
          <w:lang w:eastAsia="zh-CN"/>
        </w:rPr>
        <w:t>Regarding</w:t>
      </w:r>
      <w:r w:rsidR="00BD5C6B">
        <w:rPr>
          <w:lang w:eastAsia="zh-CN"/>
        </w:rPr>
        <w:t xml:space="preserve"> the three options </w:t>
      </w:r>
      <w:r w:rsidR="00CF09D8">
        <w:rPr>
          <w:lang w:eastAsia="zh-CN"/>
        </w:rPr>
        <w:t xml:space="preserve">discussed in RAN1 #112bis-e, </w:t>
      </w:r>
      <w:r>
        <w:rPr>
          <w:lang w:eastAsia="zh-CN"/>
        </w:rPr>
        <w:t xml:space="preserve">in our view </w:t>
      </w:r>
      <w:r w:rsidR="006B27E1">
        <w:rPr>
          <w:lang w:eastAsia="zh-CN"/>
        </w:rPr>
        <w:t>it is important that the network ensures that</w:t>
      </w:r>
      <w:r w:rsidR="0002587B">
        <w:rPr>
          <w:lang w:eastAsia="zh-CN"/>
        </w:rPr>
        <w:t xml:space="preserve"> </w:t>
      </w:r>
      <w:r w:rsidR="0002587B" w:rsidDel="003C3264">
        <w:rPr>
          <w:lang w:eastAsia="zh-CN"/>
        </w:rPr>
        <w:t>all</w:t>
      </w:r>
      <w:r w:rsidR="006B27E1" w:rsidDel="003C3264">
        <w:rPr>
          <w:lang w:eastAsia="zh-CN"/>
        </w:rPr>
        <w:t xml:space="preserve"> </w:t>
      </w:r>
      <w:r w:rsidR="006B27E1">
        <w:rPr>
          <w:lang w:eastAsia="zh-CN"/>
        </w:rPr>
        <w:t>the SBFD UEs</w:t>
      </w:r>
      <w:r w:rsidR="0002587B">
        <w:rPr>
          <w:lang w:eastAsia="zh-CN"/>
        </w:rPr>
        <w:t xml:space="preserve"> understand whether the UL subband is active in each symbol or not</w:t>
      </w:r>
      <w:r w:rsidR="00B375F4">
        <w:rPr>
          <w:lang w:eastAsia="zh-CN"/>
        </w:rPr>
        <w:t xml:space="preserve"> to avoid </w:t>
      </w:r>
      <w:r w:rsidR="002E7AA9">
        <w:rPr>
          <w:lang w:eastAsia="zh-CN"/>
        </w:rPr>
        <w:t xml:space="preserve">collisions between UL and DL transmissions, as well as </w:t>
      </w:r>
      <w:r w:rsidR="00B375F4">
        <w:rPr>
          <w:lang w:eastAsia="zh-CN"/>
        </w:rPr>
        <w:t>creating interference in different directions</w:t>
      </w:r>
      <w:r w:rsidR="00392642">
        <w:rPr>
          <w:lang w:eastAsia="zh-CN"/>
        </w:rPr>
        <w:t xml:space="preserve">. </w:t>
      </w:r>
    </w:p>
    <w:p w14:paraId="53194BB8" w14:textId="60547A30" w:rsidR="00FE1722" w:rsidRDefault="00392642" w:rsidP="006E5601">
      <w:pPr>
        <w:jc w:val="both"/>
        <w:rPr>
          <w:lang w:eastAsia="zh-CN"/>
        </w:rPr>
      </w:pPr>
      <w:r>
        <w:rPr>
          <w:lang w:eastAsia="zh-CN"/>
        </w:rPr>
        <w:t xml:space="preserve">We do </w:t>
      </w:r>
      <w:r w:rsidR="00D059A1">
        <w:rPr>
          <w:lang w:eastAsia="zh-CN"/>
        </w:rPr>
        <w:t xml:space="preserve">not see any benefit of </w:t>
      </w:r>
      <w:r w:rsidR="002E7AA9">
        <w:rPr>
          <w:lang w:eastAsia="zh-CN"/>
        </w:rPr>
        <w:t>O</w:t>
      </w:r>
      <w:r w:rsidR="00D059A1">
        <w:rPr>
          <w:lang w:eastAsia="zh-CN"/>
        </w:rPr>
        <w:t>ption 1</w:t>
      </w:r>
      <w:r>
        <w:rPr>
          <w:lang w:eastAsia="zh-CN"/>
        </w:rPr>
        <w:t xml:space="preserve">. In our view, flexible symbols are already supported by the specification, and there is no gain in creating a flexible subband. </w:t>
      </w:r>
      <w:r w:rsidR="008737CB">
        <w:rPr>
          <w:lang w:eastAsia="zh-CN"/>
        </w:rPr>
        <w:t xml:space="preserve">We assume that </w:t>
      </w:r>
      <w:r w:rsidR="00A223AD">
        <w:rPr>
          <w:lang w:eastAsia="zh-CN"/>
        </w:rPr>
        <w:t xml:space="preserve">it is not possible to configure a DL subband in an UL symbol, so assuming that the </w:t>
      </w:r>
      <w:r w:rsidR="00C303FA">
        <w:rPr>
          <w:lang w:eastAsia="zh-CN"/>
        </w:rPr>
        <w:t>flexible subband could be</w:t>
      </w:r>
      <w:r w:rsidR="00A223AD">
        <w:rPr>
          <w:lang w:eastAsia="zh-CN"/>
        </w:rPr>
        <w:t xml:space="preserve"> configured in the middle of the band, in a DFD configuration </w:t>
      </w:r>
      <w:r w:rsidR="00C303FA">
        <w:rPr>
          <w:lang w:eastAsia="zh-CN"/>
        </w:rPr>
        <w:t xml:space="preserve">for example, this symbol could only </w:t>
      </w:r>
      <w:r w:rsidR="006C7C6E">
        <w:rPr>
          <w:lang w:eastAsia="zh-CN"/>
        </w:rPr>
        <w:t xml:space="preserve">be </w:t>
      </w:r>
      <w:r w:rsidR="005A41AD">
        <w:rPr>
          <w:lang w:eastAsia="zh-CN"/>
        </w:rPr>
        <w:t>used</w:t>
      </w:r>
      <w:r w:rsidR="00FA4409">
        <w:rPr>
          <w:lang w:eastAsia="zh-CN"/>
        </w:rPr>
        <w:t xml:space="preserve"> as</w:t>
      </w:r>
      <w:r w:rsidR="00DA4D71">
        <w:rPr>
          <w:lang w:eastAsia="zh-CN"/>
        </w:rPr>
        <w:t xml:space="preserve"> </w:t>
      </w:r>
      <w:r w:rsidR="009F66F9">
        <w:rPr>
          <w:lang w:eastAsia="zh-CN"/>
        </w:rPr>
        <w:t>SBFD (DUD)</w:t>
      </w:r>
      <w:r w:rsidR="00681ECC">
        <w:rPr>
          <w:lang w:eastAsia="zh-CN"/>
        </w:rPr>
        <w:t xml:space="preserve">, </w:t>
      </w:r>
      <w:r w:rsidR="00FA4409">
        <w:rPr>
          <w:lang w:eastAsia="zh-CN"/>
        </w:rPr>
        <w:t xml:space="preserve">or DL-only, and </w:t>
      </w:r>
      <w:r w:rsidR="00681ECC">
        <w:rPr>
          <w:lang w:eastAsia="zh-CN"/>
        </w:rPr>
        <w:t xml:space="preserve">this is already achievable by the </w:t>
      </w:r>
      <w:r w:rsidR="005A41AD">
        <w:rPr>
          <w:lang w:eastAsia="zh-CN"/>
        </w:rPr>
        <w:t>two</w:t>
      </w:r>
      <w:r w:rsidR="00681ECC">
        <w:rPr>
          <w:lang w:eastAsia="zh-CN"/>
        </w:rPr>
        <w:t xml:space="preserve"> </w:t>
      </w:r>
      <w:r w:rsidR="0086253D">
        <w:rPr>
          <w:lang w:eastAsia="zh-CN"/>
        </w:rPr>
        <w:t xml:space="preserve">other </w:t>
      </w:r>
      <w:r w:rsidR="00681ECC">
        <w:rPr>
          <w:lang w:eastAsia="zh-CN"/>
        </w:rPr>
        <w:t>options.</w:t>
      </w:r>
    </w:p>
    <w:p w14:paraId="7DB5DBB9" w14:textId="4A11D0D4" w:rsidR="002B39AF" w:rsidRDefault="00552517" w:rsidP="00765B1C">
      <w:pPr>
        <w:jc w:val="both"/>
        <w:rPr>
          <w:lang w:eastAsia="zh-CN"/>
        </w:rPr>
      </w:pPr>
      <w:r>
        <w:rPr>
          <w:lang w:eastAsia="zh-CN"/>
        </w:rPr>
        <w:t xml:space="preserve">In Option 2, the symbol is not converted to </w:t>
      </w:r>
      <w:r w:rsidR="000A6E99">
        <w:rPr>
          <w:lang w:eastAsia="zh-CN"/>
        </w:rPr>
        <w:t xml:space="preserve">a non-SBFD symbol, but the dynamic </w:t>
      </w:r>
      <w:proofErr w:type="spellStart"/>
      <w:r w:rsidR="000A6E99">
        <w:rPr>
          <w:lang w:eastAsia="zh-CN"/>
        </w:rPr>
        <w:t>behavior</w:t>
      </w:r>
      <w:proofErr w:type="spellEnd"/>
      <w:r w:rsidR="000A6E99">
        <w:rPr>
          <w:lang w:eastAsia="zh-CN"/>
        </w:rPr>
        <w:t xml:space="preserve"> is implemented by </w:t>
      </w:r>
      <w:r w:rsidR="00116A0B">
        <w:rPr>
          <w:lang w:eastAsia="zh-CN"/>
        </w:rPr>
        <w:t xml:space="preserve">the scheduling </w:t>
      </w:r>
      <w:r w:rsidR="000A6E99">
        <w:rPr>
          <w:lang w:eastAsia="zh-CN"/>
        </w:rPr>
        <w:t xml:space="preserve">DCI, for example, by allocating </w:t>
      </w:r>
      <w:r w:rsidR="0051242C">
        <w:rPr>
          <w:lang w:eastAsia="zh-CN"/>
        </w:rPr>
        <w:t xml:space="preserve">DL </w:t>
      </w:r>
      <w:r w:rsidR="000A6E99">
        <w:rPr>
          <w:lang w:eastAsia="zh-CN"/>
        </w:rPr>
        <w:t xml:space="preserve">within the </w:t>
      </w:r>
      <w:r w:rsidR="00CB4A0B">
        <w:rPr>
          <w:lang w:eastAsia="zh-CN"/>
        </w:rPr>
        <w:t xml:space="preserve">UL </w:t>
      </w:r>
      <w:proofErr w:type="spellStart"/>
      <w:r w:rsidR="00CB4A0B">
        <w:rPr>
          <w:lang w:eastAsia="zh-CN"/>
        </w:rPr>
        <w:t>subband</w:t>
      </w:r>
      <w:proofErr w:type="spellEnd"/>
      <w:r w:rsidR="00CB4A0B">
        <w:rPr>
          <w:lang w:eastAsia="zh-CN"/>
        </w:rPr>
        <w:t xml:space="preserve"> and </w:t>
      </w:r>
      <w:proofErr w:type="spellStart"/>
      <w:r w:rsidR="00CB4A0B">
        <w:rPr>
          <w:lang w:eastAsia="zh-CN"/>
        </w:rPr>
        <w:t>guardbands</w:t>
      </w:r>
      <w:proofErr w:type="spellEnd"/>
      <w:r w:rsidR="00CB4A0B">
        <w:rPr>
          <w:lang w:eastAsia="zh-CN"/>
        </w:rPr>
        <w:t xml:space="preserve">. </w:t>
      </w:r>
      <w:r w:rsidR="00F55DC2">
        <w:rPr>
          <w:lang w:eastAsia="zh-CN"/>
        </w:rPr>
        <w:t>In our view, only the UEs that are dynamically scheduled in that symbol would be aware of the change</w:t>
      </w:r>
      <w:r w:rsidR="003856F5">
        <w:rPr>
          <w:lang w:eastAsia="zh-CN"/>
        </w:rPr>
        <w:t>,</w:t>
      </w:r>
      <w:r w:rsidR="00F55DC2">
        <w:rPr>
          <w:lang w:eastAsia="zh-CN"/>
        </w:rPr>
        <w:t xml:space="preserve"> </w:t>
      </w:r>
      <w:r w:rsidR="000011A3">
        <w:rPr>
          <w:lang w:eastAsia="zh-CN"/>
        </w:rPr>
        <w:t xml:space="preserve">while </w:t>
      </w:r>
      <w:r w:rsidR="00F55DC2">
        <w:rPr>
          <w:lang w:eastAsia="zh-CN"/>
        </w:rPr>
        <w:t xml:space="preserve">other UEs with </w:t>
      </w:r>
      <w:proofErr w:type="gramStart"/>
      <w:r w:rsidR="000011A3">
        <w:rPr>
          <w:lang w:eastAsia="zh-CN"/>
        </w:rPr>
        <w:t>e.g.</w:t>
      </w:r>
      <w:proofErr w:type="gramEnd"/>
      <w:r w:rsidR="000011A3">
        <w:rPr>
          <w:lang w:eastAsia="zh-CN"/>
        </w:rPr>
        <w:t xml:space="preserve"> </w:t>
      </w:r>
      <w:r w:rsidR="00F55DC2">
        <w:rPr>
          <w:lang w:eastAsia="zh-CN"/>
        </w:rPr>
        <w:t xml:space="preserve">a persistent </w:t>
      </w:r>
      <w:r w:rsidR="00D24959">
        <w:rPr>
          <w:lang w:eastAsia="zh-CN"/>
        </w:rPr>
        <w:t>allocation</w:t>
      </w:r>
      <w:r w:rsidR="00F55DC2">
        <w:rPr>
          <w:lang w:eastAsia="zh-CN"/>
        </w:rPr>
        <w:t xml:space="preserve"> (for UL transmission, or periodic DL receptions, such as CSI-RS) </w:t>
      </w:r>
      <w:r w:rsidR="003856F5">
        <w:rPr>
          <w:lang w:eastAsia="zh-CN"/>
        </w:rPr>
        <w:t xml:space="preserve">might </w:t>
      </w:r>
      <w:r w:rsidR="00F55DC2">
        <w:rPr>
          <w:lang w:eastAsia="zh-CN"/>
        </w:rPr>
        <w:t>not be aware of it</w:t>
      </w:r>
      <w:r w:rsidR="003856F5">
        <w:rPr>
          <w:lang w:eastAsia="zh-CN"/>
        </w:rPr>
        <w:t xml:space="preserve">, potentially causing </w:t>
      </w:r>
      <w:r w:rsidR="000011A3">
        <w:rPr>
          <w:lang w:eastAsia="zh-CN"/>
        </w:rPr>
        <w:t>collisions with dynamically scheduled transmissions</w:t>
      </w:r>
      <w:r w:rsidR="003856F5">
        <w:rPr>
          <w:lang w:eastAsia="zh-CN"/>
        </w:rPr>
        <w:t>.</w:t>
      </w:r>
      <w:r w:rsidR="00646287">
        <w:rPr>
          <w:lang w:eastAsia="zh-CN"/>
        </w:rPr>
        <w:t xml:space="preserve"> </w:t>
      </w:r>
      <w:r w:rsidR="002E7AA9">
        <w:rPr>
          <w:lang w:eastAsia="zh-CN"/>
        </w:rPr>
        <w:t xml:space="preserve">Another problem with Option 2 is that solutions based on rate matching around the UL </w:t>
      </w:r>
      <w:proofErr w:type="spellStart"/>
      <w:r w:rsidR="002E7AA9">
        <w:rPr>
          <w:lang w:eastAsia="zh-CN"/>
        </w:rPr>
        <w:t>subband</w:t>
      </w:r>
      <w:proofErr w:type="spellEnd"/>
      <w:r w:rsidR="002E7AA9">
        <w:rPr>
          <w:lang w:eastAsia="zh-CN"/>
        </w:rPr>
        <w:t xml:space="preserve"> and </w:t>
      </w:r>
      <w:proofErr w:type="spellStart"/>
      <w:r w:rsidR="002E7AA9">
        <w:rPr>
          <w:lang w:eastAsia="zh-CN"/>
        </w:rPr>
        <w:t>guardband</w:t>
      </w:r>
      <w:proofErr w:type="spellEnd"/>
      <w:r w:rsidR="002E7AA9">
        <w:rPr>
          <w:lang w:eastAsia="zh-CN"/>
        </w:rPr>
        <w:t xml:space="preserve">(s) are being discussed for both type 1 and type 0 RA. For type 0 RA, partial use of an RBG overlapping with the DL subband boundary is being considered, while </w:t>
      </w:r>
      <w:r w:rsidR="004217DA">
        <w:rPr>
          <w:lang w:eastAsia="zh-CN"/>
        </w:rPr>
        <w:t>for type 1 RA</w:t>
      </w:r>
      <w:r w:rsidR="00704E0B">
        <w:rPr>
          <w:lang w:eastAsia="zh-CN"/>
        </w:rPr>
        <w:t xml:space="preserve">, one of the options is that the UE </w:t>
      </w:r>
      <w:r w:rsidR="000011A3">
        <w:rPr>
          <w:lang w:eastAsia="zh-CN"/>
        </w:rPr>
        <w:t xml:space="preserve">is </w:t>
      </w:r>
      <w:r w:rsidR="00DD4262">
        <w:rPr>
          <w:lang w:eastAsia="zh-CN"/>
        </w:rPr>
        <w:t xml:space="preserve">scheduled with a contiguous set of resources and applies rate matching </w:t>
      </w:r>
      <w:r w:rsidR="00703C17">
        <w:rPr>
          <w:lang w:eastAsia="zh-CN"/>
        </w:rPr>
        <w:t xml:space="preserve">around the </w:t>
      </w:r>
      <w:r w:rsidR="00F83226">
        <w:rPr>
          <w:lang w:eastAsia="zh-CN"/>
        </w:rPr>
        <w:t xml:space="preserve">UL </w:t>
      </w:r>
      <w:proofErr w:type="spellStart"/>
      <w:r w:rsidR="00F83226">
        <w:rPr>
          <w:lang w:eastAsia="zh-CN"/>
        </w:rPr>
        <w:t>subband</w:t>
      </w:r>
      <w:proofErr w:type="spellEnd"/>
      <w:r w:rsidR="00F83226">
        <w:rPr>
          <w:lang w:eastAsia="zh-CN"/>
        </w:rPr>
        <w:t xml:space="preserve"> and </w:t>
      </w:r>
      <w:proofErr w:type="spellStart"/>
      <w:r w:rsidR="00F83226">
        <w:rPr>
          <w:lang w:eastAsia="zh-CN"/>
        </w:rPr>
        <w:t>guardband</w:t>
      </w:r>
      <w:proofErr w:type="spellEnd"/>
      <w:r w:rsidR="00F83226">
        <w:rPr>
          <w:lang w:eastAsia="zh-CN"/>
        </w:rPr>
        <w:t>(s)</w:t>
      </w:r>
      <w:r w:rsidR="002E7AA9">
        <w:rPr>
          <w:lang w:eastAsia="zh-CN"/>
        </w:rPr>
        <w:t xml:space="preserve">, </w:t>
      </w:r>
      <w:r w:rsidR="00F83226">
        <w:rPr>
          <w:lang w:eastAsia="zh-CN"/>
        </w:rPr>
        <w:t xml:space="preserve">if any. In </w:t>
      </w:r>
      <w:r w:rsidR="0082167B">
        <w:rPr>
          <w:lang w:eastAsia="zh-CN"/>
        </w:rPr>
        <w:t xml:space="preserve">case </w:t>
      </w:r>
      <w:r w:rsidR="002E7AA9">
        <w:rPr>
          <w:lang w:eastAsia="zh-CN"/>
        </w:rPr>
        <w:t>O</w:t>
      </w:r>
      <w:r w:rsidR="0082167B">
        <w:rPr>
          <w:lang w:eastAsia="zh-CN"/>
        </w:rPr>
        <w:t>ption</w:t>
      </w:r>
      <w:r w:rsidR="002E7AA9">
        <w:rPr>
          <w:lang w:eastAsia="zh-CN"/>
        </w:rPr>
        <w:t xml:space="preserve"> 2</w:t>
      </w:r>
      <w:r w:rsidR="0082167B">
        <w:rPr>
          <w:lang w:eastAsia="zh-CN"/>
        </w:rPr>
        <w:t xml:space="preserve"> is agreed, there should be mechanisms for the UE to understand when resources </w:t>
      </w:r>
      <w:r w:rsidR="001C73B6">
        <w:rPr>
          <w:lang w:eastAsia="zh-CN"/>
        </w:rPr>
        <w:t xml:space="preserve">overlapping with the DL or UL subbands in a SBFD symbols </w:t>
      </w:r>
      <w:r w:rsidR="008538FE">
        <w:rPr>
          <w:lang w:eastAsia="zh-CN"/>
        </w:rPr>
        <w:t>are to be rate matched</w:t>
      </w:r>
      <w:r w:rsidR="002E7AA9">
        <w:rPr>
          <w:lang w:eastAsia="zh-CN"/>
        </w:rPr>
        <w:t xml:space="preserve">, </w:t>
      </w:r>
      <w:r w:rsidR="000011A3">
        <w:rPr>
          <w:lang w:eastAsia="zh-CN"/>
        </w:rPr>
        <w:t>and when they are</w:t>
      </w:r>
      <w:r w:rsidR="001E7F10">
        <w:rPr>
          <w:lang w:eastAsia="zh-CN"/>
        </w:rPr>
        <w:t xml:space="preserve"> </w:t>
      </w:r>
      <w:r w:rsidR="00F73606">
        <w:rPr>
          <w:lang w:eastAsia="zh-CN"/>
        </w:rPr>
        <w:t xml:space="preserve">not. </w:t>
      </w:r>
    </w:p>
    <w:p w14:paraId="0012A47E" w14:textId="71188D49" w:rsidR="007264F4" w:rsidRDefault="00CF5CCB" w:rsidP="006E5601">
      <w:pPr>
        <w:jc w:val="both"/>
        <w:rPr>
          <w:lang w:eastAsia="zh-CN"/>
        </w:rPr>
      </w:pPr>
      <w:r>
        <w:rPr>
          <w:lang w:eastAsia="zh-CN"/>
        </w:rPr>
        <w:t xml:space="preserve">In </w:t>
      </w:r>
      <w:r w:rsidR="001C73B6">
        <w:rPr>
          <w:lang w:eastAsia="zh-CN"/>
        </w:rPr>
        <w:t>O</w:t>
      </w:r>
      <w:r>
        <w:rPr>
          <w:lang w:eastAsia="zh-CN"/>
        </w:rPr>
        <w:t>ption</w:t>
      </w:r>
      <w:r w:rsidR="001C73B6">
        <w:rPr>
          <w:lang w:eastAsia="zh-CN"/>
        </w:rPr>
        <w:t xml:space="preserve"> 3</w:t>
      </w:r>
      <w:r>
        <w:rPr>
          <w:lang w:eastAsia="zh-CN"/>
        </w:rPr>
        <w:t xml:space="preserve">, in which the SBFD symbol is converted to a DL-only or </w:t>
      </w:r>
      <w:r w:rsidR="008044E3">
        <w:rPr>
          <w:lang w:eastAsia="zh-CN"/>
        </w:rPr>
        <w:t>UL-</w:t>
      </w:r>
      <w:r w:rsidR="00042A2D">
        <w:rPr>
          <w:lang w:eastAsia="zh-CN"/>
        </w:rPr>
        <w:t xml:space="preserve">only </w:t>
      </w:r>
      <w:r>
        <w:rPr>
          <w:lang w:eastAsia="zh-CN"/>
        </w:rPr>
        <w:t xml:space="preserve">symbol, in our view, there could be a lower layer signalling such as </w:t>
      </w:r>
      <w:r w:rsidR="001C73B6">
        <w:rPr>
          <w:lang w:eastAsia="zh-CN"/>
        </w:rPr>
        <w:t xml:space="preserve">SFI or </w:t>
      </w:r>
      <w:r>
        <w:rPr>
          <w:lang w:eastAsia="zh-CN"/>
        </w:rPr>
        <w:t xml:space="preserve">enhanced SFI, to support communicating to all the SBFD UEs that this symbol is converted to </w:t>
      </w:r>
      <w:r w:rsidR="003856F5">
        <w:rPr>
          <w:lang w:eastAsia="zh-CN"/>
        </w:rPr>
        <w:t xml:space="preserve">a </w:t>
      </w:r>
      <w:r>
        <w:rPr>
          <w:lang w:eastAsia="zh-CN"/>
        </w:rPr>
        <w:t>DL-only</w:t>
      </w:r>
      <w:r w:rsidR="00AE0DA9">
        <w:rPr>
          <w:lang w:eastAsia="zh-CN"/>
        </w:rPr>
        <w:t>/</w:t>
      </w:r>
      <w:r w:rsidR="00042A2D">
        <w:rPr>
          <w:lang w:eastAsia="zh-CN"/>
        </w:rPr>
        <w:t>UL-only</w:t>
      </w:r>
      <w:r>
        <w:rPr>
          <w:lang w:eastAsia="zh-CN"/>
        </w:rPr>
        <w:t>.</w:t>
      </w:r>
      <w:r w:rsidR="00F86E97" w:rsidRPr="00F86E97">
        <w:rPr>
          <w:lang w:eastAsia="zh-CN"/>
        </w:rPr>
        <w:t xml:space="preserve"> </w:t>
      </w:r>
      <w:r w:rsidR="00973E6D">
        <w:rPr>
          <w:lang w:eastAsia="zh-CN"/>
        </w:rPr>
        <w:t>The benefit of this alternative is that it</w:t>
      </w:r>
      <w:r w:rsidR="00F86E97">
        <w:rPr>
          <w:lang w:eastAsia="zh-CN"/>
        </w:rPr>
        <w:t xml:space="preserve"> ensure</w:t>
      </w:r>
      <w:r w:rsidR="00973E6D">
        <w:rPr>
          <w:lang w:eastAsia="zh-CN"/>
        </w:rPr>
        <w:t>s</w:t>
      </w:r>
      <w:r w:rsidR="00F86E97">
        <w:rPr>
          <w:lang w:eastAsia="zh-CN"/>
        </w:rPr>
        <w:t xml:space="preserve"> that the interference is controlled and that the right resources are used at a given time</w:t>
      </w:r>
      <w:r w:rsidR="00042A2D">
        <w:rPr>
          <w:lang w:eastAsia="zh-CN"/>
        </w:rPr>
        <w:t xml:space="preserve">, </w:t>
      </w:r>
      <w:r w:rsidR="001C73B6">
        <w:rPr>
          <w:lang w:eastAsia="zh-CN"/>
        </w:rPr>
        <w:t>i.e., collisions are avoided</w:t>
      </w:r>
      <w:r w:rsidR="00F86E97">
        <w:rPr>
          <w:lang w:eastAsia="zh-CN"/>
        </w:rPr>
        <w:t xml:space="preserve">. </w:t>
      </w:r>
      <w:r w:rsidR="007264F4">
        <w:rPr>
          <w:lang w:eastAsia="zh-CN"/>
        </w:rPr>
        <w:t xml:space="preserve">In that case, this symbol </w:t>
      </w:r>
      <w:r w:rsidR="00B8134F">
        <w:rPr>
          <w:lang w:eastAsia="zh-CN"/>
        </w:rPr>
        <w:t xml:space="preserve">may </w:t>
      </w:r>
      <w:r w:rsidR="007264F4">
        <w:rPr>
          <w:lang w:eastAsia="zh-CN"/>
        </w:rPr>
        <w:t xml:space="preserve">not </w:t>
      </w:r>
      <w:r w:rsidR="00B8134F">
        <w:rPr>
          <w:lang w:eastAsia="zh-CN"/>
        </w:rPr>
        <w:t>be</w:t>
      </w:r>
      <w:r w:rsidR="007264F4">
        <w:rPr>
          <w:lang w:eastAsia="zh-CN"/>
        </w:rPr>
        <w:t xml:space="preserve"> characterized as a SBFD symbol anym</w:t>
      </w:r>
      <w:r w:rsidR="00825A9F">
        <w:rPr>
          <w:lang w:eastAsia="zh-CN"/>
        </w:rPr>
        <w:t>ore, since the</w:t>
      </w:r>
      <w:r w:rsidR="006E71C4">
        <w:rPr>
          <w:lang w:eastAsia="zh-CN"/>
        </w:rPr>
        <w:t xml:space="preserve">re would not be different DL subband(s), UL </w:t>
      </w:r>
      <w:proofErr w:type="spellStart"/>
      <w:r w:rsidR="006E71C4">
        <w:rPr>
          <w:lang w:eastAsia="zh-CN"/>
        </w:rPr>
        <w:t>subband</w:t>
      </w:r>
      <w:proofErr w:type="spellEnd"/>
      <w:r w:rsidR="006E71C4">
        <w:rPr>
          <w:lang w:eastAsia="zh-CN"/>
        </w:rPr>
        <w:t xml:space="preserve"> and </w:t>
      </w:r>
      <w:proofErr w:type="spellStart"/>
      <w:r w:rsidR="006E71C4">
        <w:rPr>
          <w:lang w:eastAsia="zh-CN"/>
        </w:rPr>
        <w:t>guardband</w:t>
      </w:r>
      <w:proofErr w:type="spellEnd"/>
      <w:r w:rsidR="006E71C4">
        <w:rPr>
          <w:lang w:eastAsia="zh-CN"/>
        </w:rPr>
        <w:t>(s) defined</w:t>
      </w:r>
      <w:r w:rsidR="00760C64">
        <w:rPr>
          <w:lang w:eastAsia="zh-CN"/>
        </w:rPr>
        <w:t>. This means</w:t>
      </w:r>
      <w:r w:rsidR="00D80768">
        <w:rPr>
          <w:lang w:eastAsia="zh-CN"/>
        </w:rPr>
        <w:t>,</w:t>
      </w:r>
      <w:r w:rsidR="00760C64">
        <w:rPr>
          <w:lang w:eastAsia="zh-CN"/>
        </w:rPr>
        <w:t xml:space="preserve"> whatever </w:t>
      </w:r>
      <w:r w:rsidR="00D80768">
        <w:rPr>
          <w:lang w:eastAsia="zh-CN"/>
        </w:rPr>
        <w:t>is decided in terms of allowing</w:t>
      </w:r>
      <w:r w:rsidR="004D0B42">
        <w:rPr>
          <w:lang w:eastAsia="zh-CN"/>
        </w:rPr>
        <w:t xml:space="preserve"> or </w:t>
      </w:r>
      <w:r w:rsidR="00D80768">
        <w:rPr>
          <w:lang w:eastAsia="zh-CN"/>
        </w:rPr>
        <w:t xml:space="preserve">not-allowing DL/UL transmissions outside of </w:t>
      </w:r>
      <w:r w:rsidR="004D0B42">
        <w:rPr>
          <w:lang w:eastAsia="zh-CN"/>
        </w:rPr>
        <w:t>D</w:t>
      </w:r>
      <w:r w:rsidR="00ED44F8">
        <w:rPr>
          <w:lang w:eastAsia="zh-CN"/>
        </w:rPr>
        <w:t>L/UL subbands in SBFD symbols configured as DL or Flexible in TDD-UL-DL-</w:t>
      </w:r>
      <w:proofErr w:type="spellStart"/>
      <w:r w:rsidR="00ED44F8">
        <w:rPr>
          <w:lang w:eastAsia="zh-CN"/>
        </w:rPr>
        <w:t>ConfigCommon</w:t>
      </w:r>
      <w:proofErr w:type="spellEnd"/>
      <w:r w:rsidR="00ED44F8">
        <w:rPr>
          <w:lang w:eastAsia="zh-CN"/>
        </w:rPr>
        <w:t xml:space="preserve">, </w:t>
      </w:r>
      <w:r w:rsidR="004D0B42">
        <w:rPr>
          <w:lang w:eastAsia="zh-CN"/>
        </w:rPr>
        <w:t xml:space="preserve">it </w:t>
      </w:r>
      <w:r w:rsidR="00C73C7E">
        <w:rPr>
          <w:lang w:eastAsia="zh-CN"/>
        </w:rPr>
        <w:t>does</w:t>
      </w:r>
      <w:r w:rsidR="00ED44F8">
        <w:rPr>
          <w:lang w:eastAsia="zh-CN"/>
        </w:rPr>
        <w:t xml:space="preserve"> not appl</w:t>
      </w:r>
      <w:r w:rsidR="00C73C7E">
        <w:rPr>
          <w:lang w:eastAsia="zh-CN"/>
        </w:rPr>
        <w:t>y to symbol</w:t>
      </w:r>
      <w:r w:rsidR="00A44B89">
        <w:rPr>
          <w:lang w:eastAsia="zh-CN"/>
        </w:rPr>
        <w:t xml:space="preserve">s that are </w:t>
      </w:r>
      <w:r w:rsidR="004D0B42">
        <w:rPr>
          <w:lang w:eastAsia="zh-CN"/>
        </w:rPr>
        <w:t>dynamically converted to DL-only or UL-only symbols</w:t>
      </w:r>
      <w:r w:rsidR="006E71C4">
        <w:rPr>
          <w:lang w:eastAsia="zh-CN"/>
        </w:rPr>
        <w:t xml:space="preserve">. </w:t>
      </w:r>
    </w:p>
    <w:p w14:paraId="4FC4EC68" w14:textId="1C36F90B" w:rsidR="00454C7D" w:rsidRDefault="00454C7D">
      <w:pPr>
        <w:pStyle w:val="Observation"/>
        <w:rPr>
          <w:lang w:eastAsia="zh-CN"/>
        </w:rPr>
      </w:pPr>
      <w:bookmarkStart w:id="238" w:name="_Toc142394782"/>
      <w:bookmarkStart w:id="239" w:name="_Toc142394874"/>
      <w:bookmarkStart w:id="240" w:name="_Toc142397618"/>
      <w:bookmarkStart w:id="241" w:name="_Toc142397716"/>
      <w:bookmarkStart w:id="242" w:name="_Toc142397923"/>
      <w:bookmarkStart w:id="243" w:name="_Toc142399649"/>
      <w:bookmarkStart w:id="244" w:name="_Toc142400735"/>
      <w:bookmarkStart w:id="245" w:name="_Toc142400834"/>
      <w:bookmarkStart w:id="246" w:name="_Toc142400932"/>
      <w:bookmarkStart w:id="247" w:name="_Toc142401042"/>
      <w:bookmarkStart w:id="248" w:name="_Toc142401215"/>
      <w:bookmarkStart w:id="249" w:name="_Toc142466560"/>
      <w:bookmarkStart w:id="250" w:name="_Toc142481179"/>
      <w:bookmarkStart w:id="251" w:name="_Toc142481993"/>
      <w:r>
        <w:rPr>
          <w:lang w:eastAsia="zh-CN"/>
        </w:rPr>
        <w:t xml:space="preserve">If the SBFD symbol is dynamically converted </w:t>
      </w:r>
      <w:r w:rsidR="00C00BE2">
        <w:rPr>
          <w:lang w:eastAsia="zh-CN"/>
        </w:rPr>
        <w:t xml:space="preserve">to a DL-only </w:t>
      </w:r>
      <w:r w:rsidR="00042A2D">
        <w:rPr>
          <w:lang w:eastAsia="zh-CN"/>
        </w:rPr>
        <w:t>or UL</w:t>
      </w:r>
      <w:r w:rsidR="00A866E2">
        <w:rPr>
          <w:lang w:eastAsia="zh-CN"/>
        </w:rPr>
        <w:t>-</w:t>
      </w:r>
      <w:r w:rsidR="00042A2D">
        <w:rPr>
          <w:lang w:eastAsia="zh-CN"/>
        </w:rPr>
        <w:t xml:space="preserve">only </w:t>
      </w:r>
      <w:r w:rsidR="00C00BE2">
        <w:rPr>
          <w:lang w:eastAsia="zh-CN"/>
        </w:rPr>
        <w:t>symbol</w:t>
      </w:r>
      <w:r w:rsidR="00686C4A">
        <w:rPr>
          <w:lang w:eastAsia="zh-CN"/>
        </w:rPr>
        <w:t xml:space="preserve">, </w:t>
      </w:r>
      <w:r w:rsidR="001D4C94">
        <w:rPr>
          <w:lang w:eastAsia="zh-CN"/>
        </w:rPr>
        <w:t>it is not characterized by</w:t>
      </w:r>
      <w:r w:rsidR="00686C4A">
        <w:rPr>
          <w:lang w:eastAsia="zh-CN"/>
        </w:rPr>
        <w:t xml:space="preserve"> DL/UL </w:t>
      </w:r>
      <w:proofErr w:type="spellStart"/>
      <w:r w:rsidR="00686C4A">
        <w:rPr>
          <w:lang w:eastAsia="zh-CN"/>
        </w:rPr>
        <w:t>subbands</w:t>
      </w:r>
      <w:proofErr w:type="spellEnd"/>
      <w:r w:rsidR="00686C4A">
        <w:rPr>
          <w:lang w:eastAsia="zh-CN"/>
        </w:rPr>
        <w:t xml:space="preserve"> and </w:t>
      </w:r>
      <w:proofErr w:type="spellStart"/>
      <w:r w:rsidR="00686C4A">
        <w:rPr>
          <w:lang w:eastAsia="zh-CN"/>
        </w:rPr>
        <w:t>guardband</w:t>
      </w:r>
      <w:proofErr w:type="spellEnd"/>
      <w:r w:rsidR="001D4C94">
        <w:rPr>
          <w:lang w:eastAsia="zh-CN"/>
        </w:rPr>
        <w:t>(</w:t>
      </w:r>
      <w:r w:rsidR="00686C4A">
        <w:rPr>
          <w:lang w:eastAsia="zh-CN"/>
        </w:rPr>
        <w:t>s</w:t>
      </w:r>
      <w:r w:rsidR="001D4C94">
        <w:rPr>
          <w:lang w:eastAsia="zh-CN"/>
        </w:rPr>
        <w:t>).</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001D4C94">
        <w:rPr>
          <w:lang w:eastAsia="zh-CN"/>
        </w:rPr>
        <w:t xml:space="preserve"> </w:t>
      </w:r>
    </w:p>
    <w:p w14:paraId="36A1A1A8" w14:textId="57B3D15D" w:rsidR="0011088D" w:rsidRDefault="00CC00C8">
      <w:pPr>
        <w:pStyle w:val="Proposal"/>
        <w:rPr>
          <w:lang w:eastAsia="zh-CN"/>
        </w:rPr>
      </w:pPr>
      <w:bookmarkStart w:id="252" w:name="_Toc142394783"/>
      <w:bookmarkStart w:id="253" w:name="_Toc142394875"/>
      <w:bookmarkStart w:id="254" w:name="_Toc142397619"/>
      <w:bookmarkStart w:id="255" w:name="_Toc142397717"/>
      <w:bookmarkStart w:id="256" w:name="_Toc142397924"/>
      <w:bookmarkStart w:id="257" w:name="_Toc142399650"/>
      <w:bookmarkStart w:id="258" w:name="_Toc142400736"/>
      <w:bookmarkStart w:id="259" w:name="_Toc142400835"/>
      <w:bookmarkStart w:id="260" w:name="_Toc142400933"/>
      <w:bookmarkStart w:id="261" w:name="_Toc142401043"/>
      <w:bookmarkStart w:id="262" w:name="_Toc142401216"/>
      <w:bookmarkStart w:id="263" w:name="_Toc142466561"/>
      <w:bookmarkStart w:id="264" w:name="_Toc142481180"/>
      <w:bookmarkStart w:id="265" w:name="_Toc142481994"/>
      <w:bookmarkStart w:id="266" w:name="_Ref134624679"/>
      <w:r>
        <w:rPr>
          <w:lang w:eastAsia="zh-CN"/>
        </w:rPr>
        <w:t>For a SBFD symbol configured as DL in TDD-UL-DL-</w:t>
      </w:r>
      <w:proofErr w:type="spellStart"/>
      <w:r>
        <w:rPr>
          <w:lang w:eastAsia="zh-CN"/>
        </w:rPr>
        <w:t>ConfigCommon</w:t>
      </w:r>
      <w:proofErr w:type="spellEnd"/>
      <w:r w:rsidR="0011088D">
        <w:rPr>
          <w:lang w:eastAsia="zh-CN"/>
        </w:rPr>
        <w:t xml:space="preserve">, </w:t>
      </w:r>
      <w:r w:rsidR="00355B90">
        <w:rPr>
          <w:lang w:eastAsia="zh-CN"/>
        </w:rPr>
        <w:t xml:space="preserve">support converting the SBFD symbol to </w:t>
      </w:r>
      <w:r w:rsidR="00D14B93">
        <w:rPr>
          <w:lang w:eastAsia="zh-CN"/>
        </w:rPr>
        <w:t>DL-only</w:t>
      </w:r>
      <w:r w:rsidR="00AE5E1A">
        <w:rPr>
          <w:lang w:eastAsia="zh-CN"/>
        </w:rPr>
        <w:t xml:space="preserve"> symbol</w:t>
      </w:r>
      <w:r w:rsidR="00143FA7">
        <w:rPr>
          <w:lang w:eastAsia="zh-CN"/>
        </w:rPr>
        <w:t>.</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00143FA7">
        <w:rPr>
          <w:lang w:eastAsia="zh-CN"/>
        </w:rPr>
        <w:t xml:space="preserve"> </w:t>
      </w:r>
      <w:bookmarkEnd w:id="266"/>
    </w:p>
    <w:p w14:paraId="4776C6C3" w14:textId="1A02B952" w:rsidR="00D14B93" w:rsidRDefault="00D14B93" w:rsidP="00D14B93">
      <w:pPr>
        <w:pStyle w:val="Proposal"/>
        <w:rPr>
          <w:lang w:eastAsia="zh-CN"/>
        </w:rPr>
      </w:pPr>
      <w:bookmarkStart w:id="267" w:name="_Toc142394784"/>
      <w:bookmarkStart w:id="268" w:name="_Toc142394876"/>
      <w:bookmarkStart w:id="269" w:name="_Toc142397620"/>
      <w:bookmarkStart w:id="270" w:name="_Toc142397718"/>
      <w:bookmarkStart w:id="271" w:name="_Toc142397925"/>
      <w:bookmarkStart w:id="272" w:name="_Toc142399651"/>
      <w:bookmarkStart w:id="273" w:name="_Toc142400737"/>
      <w:bookmarkStart w:id="274" w:name="_Toc142400836"/>
      <w:bookmarkStart w:id="275" w:name="_Toc142400934"/>
      <w:bookmarkStart w:id="276" w:name="_Toc142401044"/>
      <w:bookmarkStart w:id="277" w:name="_Toc142401217"/>
      <w:bookmarkStart w:id="278" w:name="_Toc142466562"/>
      <w:bookmarkStart w:id="279" w:name="_Toc142481181"/>
      <w:bookmarkStart w:id="280" w:name="_Toc142481995"/>
      <w:r>
        <w:rPr>
          <w:lang w:eastAsia="zh-CN"/>
        </w:rPr>
        <w:t xml:space="preserve">For a SBFD symbol configured as </w:t>
      </w:r>
      <w:r w:rsidR="00AE5E1A">
        <w:rPr>
          <w:lang w:eastAsia="zh-CN"/>
        </w:rPr>
        <w:t>flexible</w:t>
      </w:r>
      <w:r>
        <w:rPr>
          <w:lang w:eastAsia="zh-CN"/>
        </w:rPr>
        <w:t xml:space="preserve"> in TDD-UL-DL-</w:t>
      </w:r>
      <w:proofErr w:type="spellStart"/>
      <w:r>
        <w:rPr>
          <w:lang w:eastAsia="zh-CN"/>
        </w:rPr>
        <w:t>ConfigCommon</w:t>
      </w:r>
      <w:proofErr w:type="spellEnd"/>
      <w:r>
        <w:rPr>
          <w:lang w:eastAsia="zh-CN"/>
        </w:rPr>
        <w:t>, support converting the SBFD symbol to DL-only</w:t>
      </w:r>
      <w:r w:rsidR="00AE5E1A">
        <w:rPr>
          <w:lang w:eastAsia="zh-CN"/>
        </w:rPr>
        <w:t xml:space="preserve"> or UL-only</w:t>
      </w:r>
      <w:r>
        <w:rPr>
          <w:lang w:eastAsia="zh-CN"/>
        </w:rPr>
        <w: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Pr>
          <w:lang w:eastAsia="zh-CN"/>
        </w:rPr>
        <w:t xml:space="preserve"> </w:t>
      </w:r>
    </w:p>
    <w:p w14:paraId="1F70CD01" w14:textId="1A02B952" w:rsidR="00D14B93" w:rsidRPr="00D14B93" w:rsidRDefault="00D14B93" w:rsidP="007C5BF6">
      <w:pPr>
        <w:pStyle w:val="00BodyText"/>
        <w:rPr>
          <w:lang w:eastAsia="zh-CN"/>
        </w:rPr>
      </w:pPr>
    </w:p>
    <w:p w14:paraId="63C2E2ED" w14:textId="27F7701B" w:rsidR="008640BD" w:rsidRDefault="008640BD" w:rsidP="008640BD">
      <w:pPr>
        <w:spacing w:after="120"/>
        <w:jc w:val="both"/>
        <w:rPr>
          <w:lang w:val="en-US"/>
        </w:rPr>
      </w:pPr>
      <w:r w:rsidRPr="00F50CF2">
        <w:rPr>
          <w:lang w:val="en-US"/>
        </w:rPr>
        <w:t xml:space="preserve">Based on the above proposals, the frame structure signaling framework </w:t>
      </w:r>
      <w:r w:rsidR="00E9583E">
        <w:rPr>
          <w:lang w:val="en-US"/>
        </w:rPr>
        <w:t xml:space="preserve">may </w:t>
      </w:r>
      <w:r w:rsidRPr="00F50CF2">
        <w:rPr>
          <w:lang w:val="en-US"/>
        </w:rPr>
        <w:t xml:space="preserve">need to be enhanced </w:t>
      </w:r>
      <w:r>
        <w:rPr>
          <w:lang w:val="en-US"/>
        </w:rPr>
        <w:t xml:space="preserve">to </w:t>
      </w:r>
      <w:r w:rsidRPr="00F50CF2">
        <w:rPr>
          <w:lang w:val="en-US"/>
        </w:rPr>
        <w:t xml:space="preserve">support dynamic subband location in time domain, </w:t>
      </w:r>
      <w:proofErr w:type="gramStart"/>
      <w:r w:rsidRPr="00F50CF2">
        <w:rPr>
          <w:lang w:val="en-US"/>
        </w:rPr>
        <w:t>e.g.</w:t>
      </w:r>
      <w:proofErr w:type="gramEnd"/>
      <w:r w:rsidRPr="00F50CF2">
        <w:rPr>
          <w:lang w:val="en-US"/>
        </w:rPr>
        <w:t xml:space="preserve"> by providing a mechanism for </w:t>
      </w:r>
      <w:r w:rsidRPr="00F50CF2">
        <w:rPr>
          <w:lang w:val="en-US" w:eastAsia="zh-CN"/>
        </w:rPr>
        <w:t xml:space="preserve">dynamic adjustment of the sub-band configuration in line with traffic demands and using lower-layer signaling. </w:t>
      </w:r>
      <w:r w:rsidRPr="00F50CF2">
        <w:rPr>
          <w:lang w:val="en-US"/>
        </w:rPr>
        <w:t xml:space="preserve">For example, </w:t>
      </w:r>
      <w:r w:rsidRPr="00F50CF2">
        <w:rPr>
          <w:lang w:val="en-US" w:eastAsia="zh-CN"/>
        </w:rPr>
        <w:t xml:space="preserve">it could be possible to signal the frequency domain location of the UL subband via higher layer signaling, while the time domain </w:t>
      </w:r>
      <w:r w:rsidR="000011A3">
        <w:rPr>
          <w:lang w:val="en-US" w:eastAsia="zh-CN"/>
        </w:rPr>
        <w:t xml:space="preserve">location </w:t>
      </w:r>
      <w:r w:rsidRPr="00F50CF2">
        <w:rPr>
          <w:lang w:val="en-US" w:eastAsia="zh-CN"/>
        </w:rPr>
        <w:t xml:space="preserve">of the UL subband is provided with </w:t>
      </w:r>
      <w:r w:rsidR="000011A3">
        <w:rPr>
          <w:lang w:val="en-US" w:eastAsia="zh-CN"/>
        </w:rPr>
        <w:t xml:space="preserve">a combination of </w:t>
      </w:r>
      <w:r w:rsidR="000011A3" w:rsidRPr="00F50CF2">
        <w:rPr>
          <w:lang w:val="en-US" w:eastAsia="zh-CN"/>
        </w:rPr>
        <w:t xml:space="preserve">higher layer </w:t>
      </w:r>
      <w:r w:rsidR="000011A3">
        <w:rPr>
          <w:lang w:val="en-US" w:eastAsia="zh-CN"/>
        </w:rPr>
        <w:t xml:space="preserve">and </w:t>
      </w:r>
      <w:r w:rsidRPr="00F50CF2">
        <w:rPr>
          <w:lang w:val="en-US" w:eastAsia="zh-CN"/>
        </w:rPr>
        <w:t xml:space="preserve">lower layer </w:t>
      </w:r>
      <w:r w:rsidR="000011A3">
        <w:rPr>
          <w:lang w:val="en-US" w:eastAsia="zh-CN"/>
        </w:rPr>
        <w:t xml:space="preserve">signaling, the latter possibly being </w:t>
      </w:r>
      <w:r w:rsidRPr="00F50CF2">
        <w:rPr>
          <w:lang w:val="en-US" w:eastAsia="zh-CN"/>
        </w:rPr>
        <w:t>SFI</w:t>
      </w:r>
      <w:r w:rsidR="000011A3">
        <w:rPr>
          <w:lang w:val="en-US" w:eastAsia="zh-CN"/>
        </w:rPr>
        <w:t xml:space="preserve"> or </w:t>
      </w:r>
      <w:r w:rsidRPr="00F50CF2">
        <w:rPr>
          <w:lang w:val="en-US" w:eastAsia="zh-CN"/>
        </w:rPr>
        <w:t>enhanced SFI.</w:t>
      </w:r>
      <w:r w:rsidRPr="00F50CF2">
        <w:rPr>
          <w:lang w:val="en-US"/>
        </w:rPr>
        <w:t xml:space="preserve"> However, before RAN1 can further progress on the signaling framework, it must first reach consensus on the support for dynamic subband location in time (and/or frequency) domain.</w:t>
      </w:r>
    </w:p>
    <w:p w14:paraId="20D23B54" w14:textId="79083701" w:rsidR="001E2C38" w:rsidRPr="00B031E1" w:rsidRDefault="001E2C38">
      <w:pPr>
        <w:pStyle w:val="Proposal"/>
      </w:pPr>
      <w:bookmarkStart w:id="281" w:name="_Ref134624625"/>
      <w:bookmarkStart w:id="282" w:name="_Toc142394785"/>
      <w:bookmarkStart w:id="283" w:name="_Toc142394877"/>
      <w:bookmarkStart w:id="284" w:name="_Toc142397621"/>
      <w:bookmarkStart w:id="285" w:name="_Toc142397719"/>
      <w:bookmarkStart w:id="286" w:name="_Toc142397926"/>
      <w:bookmarkStart w:id="287" w:name="_Toc142399652"/>
      <w:bookmarkStart w:id="288" w:name="_Toc142400738"/>
      <w:bookmarkStart w:id="289" w:name="_Toc142400837"/>
      <w:bookmarkStart w:id="290" w:name="_Toc142400935"/>
      <w:bookmarkStart w:id="291" w:name="_Toc142401045"/>
      <w:bookmarkStart w:id="292" w:name="_Toc142401218"/>
      <w:bookmarkStart w:id="293" w:name="_Toc142466563"/>
      <w:bookmarkStart w:id="294" w:name="_Toc142481182"/>
      <w:bookmarkStart w:id="295" w:name="_Toc142481996"/>
      <w:r w:rsidRPr="00945543">
        <w:t>For</w:t>
      </w:r>
      <w:r w:rsidRPr="002245C7">
        <w:t xml:space="preserve"> a SBFD aware UE in a symbol </w:t>
      </w:r>
      <w:r w:rsidRPr="00B031E1">
        <w:t xml:space="preserve">semi-statically </w:t>
      </w:r>
      <w:r w:rsidRPr="002245C7">
        <w:t>configured as DL</w:t>
      </w:r>
      <w:r w:rsidRPr="00B031E1">
        <w:t xml:space="preserve"> or Flexible</w:t>
      </w:r>
      <w:r w:rsidRPr="002245C7">
        <w:t xml:space="preserve"> in </w:t>
      </w:r>
      <w:proofErr w:type="spellStart"/>
      <w:r>
        <w:rPr>
          <w:i/>
          <w:iCs/>
        </w:rPr>
        <w:t>tdd</w:t>
      </w:r>
      <w:proofErr w:type="spellEnd"/>
      <w:r w:rsidRPr="002245C7">
        <w:rPr>
          <w:i/>
          <w:iCs/>
        </w:rPr>
        <w:t>-UL-DL-</w:t>
      </w:r>
      <w:proofErr w:type="spellStart"/>
      <w:r w:rsidRPr="002245C7">
        <w:rPr>
          <w:i/>
          <w:iCs/>
        </w:rPr>
        <w:t>Config</w:t>
      </w:r>
      <w:r>
        <w:rPr>
          <w:i/>
          <w:iCs/>
        </w:rPr>
        <w:t>uration</w:t>
      </w:r>
      <w:r w:rsidRPr="002245C7">
        <w:rPr>
          <w:i/>
          <w:iCs/>
        </w:rPr>
        <w:t>Common</w:t>
      </w:r>
      <w:proofErr w:type="spellEnd"/>
      <w:r w:rsidRPr="002245C7">
        <w:t>,</w:t>
      </w:r>
      <w:r w:rsidRPr="00B031E1">
        <w:t xml:space="preserve"> </w:t>
      </w:r>
      <w:r w:rsidR="00C7656D">
        <w:t>support</w:t>
      </w:r>
      <w:r w:rsidR="00C7656D" w:rsidRPr="00B031E1">
        <w:t xml:space="preserve"> </w:t>
      </w:r>
      <w:r w:rsidRPr="00B031E1">
        <w:t>mechanism</w:t>
      </w:r>
      <w:r>
        <w:t>s</w:t>
      </w:r>
      <w:r w:rsidRPr="00B031E1">
        <w:t xml:space="preserve"> enabling dynamic configuration of the SBFD UL subband in the symbol.</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sidRPr="00B031E1">
        <w:t xml:space="preserve"> </w:t>
      </w:r>
    </w:p>
    <w:p w14:paraId="342F7B3A" w14:textId="6D60AF44" w:rsidR="00ED188E" w:rsidRDefault="00D810E8" w:rsidP="00ED188E">
      <w:pPr>
        <w:spacing w:after="120"/>
        <w:jc w:val="both"/>
        <w:rPr>
          <w:rFonts w:ascii="Times" w:eastAsia="Times New Roman" w:hAnsi="Times" w:cs="Times"/>
          <w:b/>
          <w:bCs/>
          <w:iCs/>
        </w:rPr>
      </w:pPr>
      <w:r>
        <w:rPr>
          <w:lang w:val="en-US"/>
        </w:rPr>
        <w:t xml:space="preserve">Additionally, </w:t>
      </w:r>
      <w:r w:rsidR="00194946">
        <w:rPr>
          <w:lang w:val="en-US"/>
        </w:rPr>
        <w:t>in</w:t>
      </w:r>
      <w:r w:rsidR="007256EE">
        <w:rPr>
          <w:lang w:val="en-US"/>
        </w:rPr>
        <w:t xml:space="preserve"> previous meetings, there had been agreements on the UE behavior within DL</w:t>
      </w:r>
      <w:r w:rsidR="00AC54D5">
        <w:rPr>
          <w:lang w:val="en-US"/>
        </w:rPr>
        <w:t xml:space="preserve"> </w:t>
      </w:r>
      <w:proofErr w:type="spellStart"/>
      <w:r w:rsidR="00AC54D5">
        <w:rPr>
          <w:lang w:val="en-US"/>
        </w:rPr>
        <w:t>subbands</w:t>
      </w:r>
      <w:proofErr w:type="spellEnd"/>
      <w:r w:rsidR="00AC54D5">
        <w:rPr>
          <w:lang w:val="en-US"/>
        </w:rPr>
        <w:t xml:space="preserve"> and UL </w:t>
      </w:r>
      <w:proofErr w:type="spellStart"/>
      <w:r w:rsidR="00AC54D5">
        <w:rPr>
          <w:lang w:val="en-US"/>
        </w:rPr>
        <w:t>subbands</w:t>
      </w:r>
      <w:proofErr w:type="spellEnd"/>
      <w:r w:rsidR="00AC54D5">
        <w:rPr>
          <w:lang w:val="en-US"/>
        </w:rPr>
        <w:t xml:space="preserve"> for SBFD operation in symbols configured as DL or flexible in </w:t>
      </w:r>
      <w:r w:rsidR="00AC54D5" w:rsidRPr="00A42D85">
        <w:rPr>
          <w:rFonts w:ascii="Times" w:eastAsia="Times New Roman" w:hAnsi="Times" w:cs="Times"/>
          <w:i/>
        </w:rPr>
        <w:t>TDD-UL-DL-</w:t>
      </w:r>
      <w:proofErr w:type="spellStart"/>
      <w:r w:rsidR="00AC54D5" w:rsidRPr="00A42D85">
        <w:rPr>
          <w:rFonts w:ascii="Times" w:eastAsia="Times New Roman" w:hAnsi="Times" w:cs="Times"/>
          <w:i/>
        </w:rPr>
        <w:t>ConfigCommon</w:t>
      </w:r>
      <w:proofErr w:type="spellEnd"/>
      <w:r w:rsidR="00AC54D5">
        <w:rPr>
          <w:rFonts w:ascii="Times" w:eastAsia="Times New Roman" w:hAnsi="Times" w:cs="Times"/>
          <w:i/>
        </w:rPr>
        <w:t>.</w:t>
      </w:r>
      <w:r w:rsidR="00C2372F">
        <w:rPr>
          <w:lang w:val="en-US"/>
        </w:rPr>
        <w:t xml:space="preserve">In RAN1 #111, the following has been agreed for a UE configured with UL </w:t>
      </w:r>
      <w:proofErr w:type="spellStart"/>
      <w:r w:rsidR="00C2372F">
        <w:rPr>
          <w:lang w:val="en-US"/>
        </w:rPr>
        <w:t>subband</w:t>
      </w:r>
      <w:proofErr w:type="spellEnd"/>
      <w:r w:rsidR="00C2372F">
        <w:rPr>
          <w:lang w:val="en-US"/>
        </w:rPr>
        <w:t xml:space="preserve"> in </w:t>
      </w:r>
      <w:r w:rsidR="00F54331">
        <w:rPr>
          <w:lang w:val="en-US"/>
        </w:rPr>
        <w:t xml:space="preserve">a SBFD symbol configured as DL in </w:t>
      </w:r>
      <w:r w:rsidR="00ED188E" w:rsidRPr="007C5BF6">
        <w:rPr>
          <w:rFonts w:ascii="Times" w:eastAsia="Times New Roman" w:hAnsi="Times" w:cs="Times"/>
          <w:i/>
        </w:rPr>
        <w:t>TDD-UL-DL-</w:t>
      </w:r>
      <w:proofErr w:type="spellStart"/>
      <w:r w:rsidR="00ED188E" w:rsidRPr="007C5BF6">
        <w:rPr>
          <w:rFonts w:ascii="Times" w:eastAsia="Times New Roman" w:hAnsi="Times" w:cs="Times"/>
          <w:i/>
        </w:rPr>
        <w:t>ConfigCommon</w:t>
      </w:r>
      <w:proofErr w:type="spellEnd"/>
      <w:r w:rsidR="00ED188E" w:rsidRPr="007C5BF6">
        <w:rPr>
          <w:rFonts w:ascii="Times" w:eastAsia="Times New Roman" w:hAnsi="Times" w:cs="Times"/>
          <w:iCs/>
        </w:rPr>
        <w:t>:</w:t>
      </w:r>
    </w:p>
    <w:tbl>
      <w:tblPr>
        <w:tblStyle w:val="TableGrid"/>
        <w:tblW w:w="0" w:type="auto"/>
        <w:tblLook w:val="04A0" w:firstRow="1" w:lastRow="0" w:firstColumn="1" w:lastColumn="0" w:noHBand="0" w:noVBand="1"/>
      </w:tblPr>
      <w:tblGrid>
        <w:gridCol w:w="9629"/>
      </w:tblGrid>
      <w:tr w:rsidR="00ED188E" w14:paraId="26139549" w14:textId="77777777" w:rsidTr="00ED188E">
        <w:tc>
          <w:tcPr>
            <w:tcW w:w="9629" w:type="dxa"/>
          </w:tcPr>
          <w:p w14:paraId="73C7A1EA" w14:textId="77777777" w:rsidR="00526714" w:rsidRPr="00E22BBA" w:rsidRDefault="00526714" w:rsidP="00526714">
            <w:pPr>
              <w:spacing w:after="120"/>
              <w:jc w:val="both"/>
              <w:rPr>
                <w:iCs/>
                <w:lang w:eastAsia="zh-CN"/>
              </w:rPr>
            </w:pPr>
            <w:r w:rsidRPr="00E22BBA">
              <w:rPr>
                <w:iCs/>
                <w:lang w:eastAsia="zh-CN"/>
              </w:rPr>
              <w:tab/>
            </w:r>
            <w:r w:rsidRPr="00E22BBA">
              <w:rPr>
                <w:iCs/>
                <w:highlight w:val="green"/>
                <w:lang w:eastAsia="zh-CN"/>
              </w:rPr>
              <w:t>Agreement</w:t>
            </w:r>
          </w:p>
          <w:p w14:paraId="4C9B825F" w14:textId="77777777" w:rsidR="00526714" w:rsidRPr="00E22BBA" w:rsidRDefault="00526714" w:rsidP="00526714">
            <w:pPr>
              <w:spacing w:after="120"/>
              <w:jc w:val="both"/>
              <w:rPr>
                <w:iCs/>
                <w:lang w:eastAsia="zh-CN"/>
              </w:rPr>
            </w:pPr>
            <w:r w:rsidRPr="00E22BBA">
              <w:rPr>
                <w:iCs/>
                <w:lang w:eastAsia="zh-CN"/>
              </w:rPr>
              <w:tab/>
              <w:t>For a SBFD aware UE semi-statically configured with UL subband in a SBFD symbol configured as DL in TDD-UL-DL-</w:t>
            </w:r>
            <w:proofErr w:type="spellStart"/>
            <w:r w:rsidRPr="00E22BBA">
              <w:rPr>
                <w:iCs/>
                <w:lang w:eastAsia="zh-CN"/>
              </w:rPr>
              <w:t>ConfigCommon</w:t>
            </w:r>
            <w:proofErr w:type="spellEnd"/>
            <w:r w:rsidRPr="00E22BBA">
              <w:rPr>
                <w:iCs/>
                <w:lang w:eastAsia="zh-CN"/>
              </w:rPr>
              <w:t>, the following is agreed as baseline in the RAN1 study:</w:t>
            </w:r>
          </w:p>
          <w:p w14:paraId="04E553CD" w14:textId="77777777" w:rsidR="00526714" w:rsidRPr="00E22BBA" w:rsidRDefault="00526714" w:rsidP="00526714">
            <w:pPr>
              <w:spacing w:after="120"/>
              <w:jc w:val="both"/>
              <w:rPr>
                <w:iCs/>
                <w:lang w:eastAsia="zh-CN"/>
              </w:rPr>
            </w:pPr>
            <w:r w:rsidRPr="00E22BBA">
              <w:rPr>
                <w:iCs/>
                <w:lang w:eastAsia="zh-CN"/>
              </w:rPr>
              <w:tab/>
              <w:t>· UL transmissions within UL subband are allowed in the symbol</w:t>
            </w:r>
          </w:p>
          <w:p w14:paraId="6CCC986A" w14:textId="77777777" w:rsidR="00526714" w:rsidRPr="00E22BBA" w:rsidRDefault="00526714" w:rsidP="00526714">
            <w:pPr>
              <w:spacing w:after="120"/>
              <w:jc w:val="both"/>
              <w:rPr>
                <w:iCs/>
                <w:lang w:eastAsia="zh-CN"/>
              </w:rPr>
            </w:pPr>
            <w:r w:rsidRPr="00E22BBA">
              <w:rPr>
                <w:iCs/>
                <w:lang w:eastAsia="zh-CN"/>
              </w:rPr>
              <w:tab/>
              <w:t>· UL transmissions outside UL subband are not allowed in the symbol</w:t>
            </w:r>
          </w:p>
          <w:p w14:paraId="00001C83" w14:textId="77777777" w:rsidR="00526714" w:rsidRPr="00E22BBA" w:rsidRDefault="00526714" w:rsidP="00526714">
            <w:pPr>
              <w:spacing w:after="120"/>
              <w:jc w:val="both"/>
              <w:rPr>
                <w:iCs/>
                <w:lang w:eastAsia="zh-CN"/>
              </w:rPr>
            </w:pPr>
            <w:r w:rsidRPr="00E22BBA">
              <w:rPr>
                <w:iCs/>
                <w:lang w:eastAsia="zh-CN"/>
              </w:rPr>
              <w:tab/>
              <w:t>· Frequency locations of DL subband(s) are known to the SBFD aware UE</w:t>
            </w:r>
          </w:p>
          <w:p w14:paraId="1F5286C3" w14:textId="77777777" w:rsidR="00526714" w:rsidRPr="00E22BBA" w:rsidRDefault="00526714" w:rsidP="00526714">
            <w:pPr>
              <w:spacing w:after="120"/>
              <w:jc w:val="both"/>
              <w:rPr>
                <w:iCs/>
                <w:lang w:eastAsia="zh-CN"/>
              </w:rPr>
            </w:pPr>
            <w:r w:rsidRPr="00E22BBA">
              <w:rPr>
                <w:iCs/>
                <w:lang w:eastAsia="zh-CN"/>
              </w:rPr>
              <w:tab/>
              <w:t>· The frequency location of DL subband(s) can be explicitly indicated or implicitly derived</w:t>
            </w:r>
          </w:p>
          <w:p w14:paraId="3C08B105" w14:textId="77777777" w:rsidR="00526714" w:rsidRPr="00E22BBA" w:rsidRDefault="00526714" w:rsidP="00526714">
            <w:pPr>
              <w:spacing w:after="120"/>
              <w:jc w:val="both"/>
              <w:rPr>
                <w:iCs/>
                <w:lang w:eastAsia="zh-CN"/>
              </w:rPr>
            </w:pPr>
            <w:r w:rsidRPr="00E22BBA">
              <w:rPr>
                <w:iCs/>
                <w:lang w:eastAsia="zh-CN"/>
              </w:rPr>
              <w:tab/>
              <w:t>· DL receptions within DL subband(s) are allowed in the symbol</w:t>
            </w:r>
          </w:p>
          <w:p w14:paraId="5F6B4F7A" w14:textId="347BEDB3" w:rsidR="00ED188E" w:rsidRDefault="00526714" w:rsidP="00526714">
            <w:pPr>
              <w:spacing w:after="120"/>
              <w:jc w:val="both"/>
              <w:rPr>
                <w:b/>
                <w:bCs/>
                <w:iCs/>
                <w:u w:val="single"/>
                <w:lang w:eastAsia="zh-CN"/>
              </w:rPr>
            </w:pPr>
            <w:r w:rsidRPr="00E22BBA">
              <w:rPr>
                <w:iCs/>
                <w:lang w:eastAsia="zh-CN"/>
              </w:rPr>
              <w:t>Note: UL transmissions are within active UL BWP and DL receptions are within active DL BWP in the symbol</w:t>
            </w:r>
          </w:p>
        </w:tc>
      </w:tr>
    </w:tbl>
    <w:p w14:paraId="7291BB9D" w14:textId="1A02B952" w:rsidR="00ED188E" w:rsidRPr="00ED188E" w:rsidRDefault="00ED188E" w:rsidP="00ED188E">
      <w:pPr>
        <w:spacing w:after="120"/>
        <w:jc w:val="both"/>
        <w:rPr>
          <w:b/>
          <w:bCs/>
          <w:iCs/>
          <w:u w:val="single"/>
          <w:lang w:eastAsia="zh-CN"/>
        </w:rPr>
      </w:pPr>
    </w:p>
    <w:p w14:paraId="6BA64E6A" w14:textId="1661EC35" w:rsidR="00AC54D5" w:rsidRDefault="00425A9E" w:rsidP="00194946">
      <w:pPr>
        <w:spacing w:after="120"/>
        <w:jc w:val="both"/>
        <w:rPr>
          <w:lang w:val="en-US"/>
        </w:rPr>
      </w:pPr>
      <w:r>
        <w:rPr>
          <w:lang w:val="en-US"/>
        </w:rPr>
        <w:t>Considering</w:t>
      </w:r>
      <w:r w:rsidR="00865B45">
        <w:rPr>
          <w:lang w:val="en-US"/>
        </w:rPr>
        <w:t xml:space="preserve"> </w:t>
      </w:r>
      <w:r w:rsidR="005542D7">
        <w:rPr>
          <w:lang w:val="en-US"/>
        </w:rPr>
        <w:t xml:space="preserve">our </w:t>
      </w:r>
      <w:r w:rsidR="00865B45">
        <w:rPr>
          <w:lang w:val="en-US"/>
        </w:rPr>
        <w:fldChar w:fldCharType="begin"/>
      </w:r>
      <w:r w:rsidR="00865B45">
        <w:rPr>
          <w:lang w:val="en-US"/>
        </w:rPr>
        <w:instrText xml:space="preserve"> REF _Ref134624679 \r \h </w:instrText>
      </w:r>
      <w:r w:rsidR="00865B45">
        <w:rPr>
          <w:lang w:val="en-US"/>
        </w:rPr>
      </w:r>
      <w:r w:rsidR="00865B45">
        <w:rPr>
          <w:lang w:val="en-US"/>
        </w:rPr>
        <w:fldChar w:fldCharType="separate"/>
      </w:r>
      <w:r w:rsidR="00C15552">
        <w:rPr>
          <w:lang w:val="en-US"/>
        </w:rPr>
        <w:t>Proposal 2:</w:t>
      </w:r>
      <w:r w:rsidR="00865B45">
        <w:rPr>
          <w:lang w:val="en-US"/>
        </w:rPr>
        <w:fldChar w:fldCharType="end"/>
      </w:r>
      <w:r w:rsidR="005542D7">
        <w:rPr>
          <w:lang w:val="en-US"/>
        </w:rPr>
        <w:t xml:space="preserve"> above, in which we discuss that the symbol can be converted to a DL-only symbol, </w:t>
      </w:r>
      <w:r w:rsidR="007F24D3">
        <w:rPr>
          <w:lang w:val="en-US"/>
        </w:rPr>
        <w:t xml:space="preserve">we propose to update the agreement above as: </w:t>
      </w:r>
    </w:p>
    <w:p w14:paraId="066FFFA5" w14:textId="1A02B952" w:rsidR="00A8742B" w:rsidRDefault="00A8742B" w:rsidP="007C5BF6">
      <w:pPr>
        <w:pStyle w:val="Proposal"/>
        <w:spacing w:before="0" w:after="0"/>
      </w:pPr>
      <w:bookmarkStart w:id="296" w:name="_Toc142394786"/>
      <w:bookmarkStart w:id="297" w:name="_Toc142394878"/>
      <w:bookmarkStart w:id="298" w:name="_Toc142397622"/>
      <w:bookmarkStart w:id="299" w:name="_Toc142397720"/>
      <w:bookmarkStart w:id="300" w:name="_Toc142397927"/>
      <w:bookmarkStart w:id="301" w:name="_Toc142399653"/>
      <w:bookmarkStart w:id="302" w:name="_Toc142400739"/>
      <w:bookmarkStart w:id="303" w:name="_Toc142400838"/>
      <w:bookmarkStart w:id="304" w:name="_Toc142400936"/>
      <w:bookmarkStart w:id="305" w:name="_Toc142401046"/>
      <w:bookmarkStart w:id="306" w:name="_Toc142401219"/>
      <w:bookmarkStart w:id="307" w:name="_Toc142466564"/>
      <w:bookmarkStart w:id="308" w:name="_Toc142481183"/>
      <w:bookmarkStart w:id="309" w:name="_Toc142481997"/>
      <w:r>
        <w:t>For a SBFD aware UE semi-statically configured with UL subband in a SBFD symbol configured as DL in TDD-UL-DL-</w:t>
      </w:r>
      <w:proofErr w:type="spellStart"/>
      <w:r>
        <w:t>ConfigCommon</w:t>
      </w:r>
      <w:proofErr w:type="spellEnd"/>
      <w:r>
        <w:t>, the following is agreed as baseline in the RAN1 study:</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11AF18E3" w14:textId="1A02B952" w:rsidR="00A8742B" w:rsidRDefault="00A8742B" w:rsidP="007C5BF6">
      <w:pPr>
        <w:pStyle w:val="Proposal"/>
        <w:numPr>
          <w:ilvl w:val="0"/>
          <w:numId w:val="0"/>
        </w:numPr>
        <w:spacing w:before="0" w:after="0"/>
        <w:ind w:left="360"/>
      </w:pPr>
      <w:bookmarkStart w:id="310" w:name="_Toc142394787"/>
      <w:bookmarkStart w:id="311" w:name="_Toc142394879"/>
      <w:bookmarkStart w:id="312" w:name="_Toc142397623"/>
      <w:bookmarkStart w:id="313" w:name="_Toc142397721"/>
      <w:bookmarkStart w:id="314" w:name="_Toc142397928"/>
      <w:bookmarkStart w:id="315" w:name="_Toc142399654"/>
      <w:bookmarkStart w:id="316" w:name="_Toc142400740"/>
      <w:bookmarkStart w:id="317" w:name="_Toc142400839"/>
      <w:bookmarkStart w:id="318" w:name="_Toc142400937"/>
      <w:bookmarkStart w:id="319" w:name="_Toc142401047"/>
      <w:bookmarkStart w:id="320" w:name="_Toc142401220"/>
      <w:bookmarkStart w:id="321" w:name="_Toc142466565"/>
      <w:bookmarkStart w:id="322" w:name="_Toc142481184"/>
      <w:bookmarkStart w:id="323" w:name="_Toc142481998"/>
      <w:r>
        <w:t>· UL transmissions within UL subband are allowed in the symbol</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55A7BEF" w14:textId="1A02B952" w:rsidR="00A8742B" w:rsidRDefault="00A8742B" w:rsidP="007C5BF6">
      <w:pPr>
        <w:pStyle w:val="Proposal"/>
        <w:numPr>
          <w:ilvl w:val="0"/>
          <w:numId w:val="0"/>
        </w:numPr>
        <w:spacing w:before="0" w:after="0"/>
        <w:ind w:left="360"/>
      </w:pPr>
      <w:bookmarkStart w:id="324" w:name="_Toc142394788"/>
      <w:bookmarkStart w:id="325" w:name="_Toc142394880"/>
      <w:bookmarkStart w:id="326" w:name="_Toc142397624"/>
      <w:bookmarkStart w:id="327" w:name="_Toc142397722"/>
      <w:bookmarkStart w:id="328" w:name="_Toc142397929"/>
      <w:bookmarkStart w:id="329" w:name="_Toc142399655"/>
      <w:bookmarkStart w:id="330" w:name="_Toc142400741"/>
      <w:bookmarkStart w:id="331" w:name="_Toc142400840"/>
      <w:bookmarkStart w:id="332" w:name="_Toc142400938"/>
      <w:bookmarkStart w:id="333" w:name="_Toc142401048"/>
      <w:bookmarkStart w:id="334" w:name="_Toc142401221"/>
      <w:bookmarkStart w:id="335" w:name="_Toc142466566"/>
      <w:bookmarkStart w:id="336" w:name="_Toc142481185"/>
      <w:bookmarkStart w:id="337" w:name="_Toc142481999"/>
      <w:r>
        <w:t>· UL transmissions outside UL subband are not allowed in the symbol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B512D87" w14:textId="1A02B952" w:rsidR="00A8742B" w:rsidRDefault="00A8742B" w:rsidP="007C5BF6">
      <w:pPr>
        <w:pStyle w:val="Proposal"/>
        <w:numPr>
          <w:ilvl w:val="0"/>
          <w:numId w:val="0"/>
        </w:numPr>
        <w:spacing w:before="0" w:after="0"/>
        <w:ind w:left="360"/>
      </w:pPr>
      <w:bookmarkStart w:id="338" w:name="_Toc142394789"/>
      <w:bookmarkStart w:id="339" w:name="_Toc142394881"/>
      <w:bookmarkStart w:id="340" w:name="_Toc142397625"/>
      <w:bookmarkStart w:id="341" w:name="_Toc142397723"/>
      <w:bookmarkStart w:id="342" w:name="_Toc142397930"/>
      <w:bookmarkStart w:id="343" w:name="_Toc142399656"/>
      <w:bookmarkStart w:id="344" w:name="_Toc142400742"/>
      <w:bookmarkStart w:id="345" w:name="_Toc142400841"/>
      <w:bookmarkStart w:id="346" w:name="_Toc142400939"/>
      <w:bookmarkStart w:id="347" w:name="_Toc142401049"/>
      <w:bookmarkStart w:id="348" w:name="_Toc142401222"/>
      <w:bookmarkStart w:id="349" w:name="_Toc142466567"/>
      <w:bookmarkStart w:id="350" w:name="_Toc142481186"/>
      <w:bookmarkStart w:id="351" w:name="_Toc142482000"/>
      <w:r>
        <w:t>· Frequency locations of DL subband(s) are known to the SBFD aware UE</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44C8C9A" w14:textId="1A02B952" w:rsidR="00A8742B" w:rsidRDefault="00A8742B" w:rsidP="007C5BF6">
      <w:pPr>
        <w:pStyle w:val="Proposal"/>
        <w:numPr>
          <w:ilvl w:val="0"/>
          <w:numId w:val="0"/>
        </w:numPr>
        <w:spacing w:before="0" w:after="0"/>
        <w:ind w:left="360"/>
      </w:pPr>
      <w:bookmarkStart w:id="352" w:name="_Toc142394790"/>
      <w:bookmarkStart w:id="353" w:name="_Toc142394882"/>
      <w:bookmarkStart w:id="354" w:name="_Toc142397626"/>
      <w:bookmarkStart w:id="355" w:name="_Toc142397724"/>
      <w:bookmarkStart w:id="356" w:name="_Toc142397931"/>
      <w:bookmarkStart w:id="357" w:name="_Toc142399657"/>
      <w:bookmarkStart w:id="358" w:name="_Toc142400743"/>
      <w:bookmarkStart w:id="359" w:name="_Toc142400842"/>
      <w:bookmarkStart w:id="360" w:name="_Toc142400940"/>
      <w:bookmarkStart w:id="361" w:name="_Toc142401050"/>
      <w:bookmarkStart w:id="362" w:name="_Toc142401223"/>
      <w:bookmarkStart w:id="363" w:name="_Toc142466568"/>
      <w:bookmarkStart w:id="364" w:name="_Toc142481187"/>
      <w:bookmarkStart w:id="365" w:name="_Toc142482001"/>
      <w:r>
        <w:t>· The frequency location of DL subband(s) can be explicitly indicated or implicitly derived</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7BAD3D3" w14:textId="1A02B952" w:rsidR="00A8742B" w:rsidRDefault="00A8742B" w:rsidP="007C5BF6">
      <w:pPr>
        <w:pStyle w:val="Proposal"/>
        <w:numPr>
          <w:ilvl w:val="0"/>
          <w:numId w:val="0"/>
        </w:numPr>
        <w:spacing w:before="0" w:after="0"/>
        <w:ind w:left="360"/>
      </w:pPr>
      <w:bookmarkStart w:id="366" w:name="_Toc142394791"/>
      <w:bookmarkStart w:id="367" w:name="_Toc142394883"/>
      <w:bookmarkStart w:id="368" w:name="_Toc142397627"/>
      <w:bookmarkStart w:id="369" w:name="_Toc142397725"/>
      <w:bookmarkStart w:id="370" w:name="_Toc142397932"/>
      <w:bookmarkStart w:id="371" w:name="_Toc142399658"/>
      <w:bookmarkStart w:id="372" w:name="_Toc142400744"/>
      <w:bookmarkStart w:id="373" w:name="_Toc142400843"/>
      <w:bookmarkStart w:id="374" w:name="_Toc142400941"/>
      <w:bookmarkStart w:id="375" w:name="_Toc142401051"/>
      <w:bookmarkStart w:id="376" w:name="_Toc142401224"/>
      <w:bookmarkStart w:id="377" w:name="_Toc142466569"/>
      <w:bookmarkStart w:id="378" w:name="_Toc142481188"/>
      <w:bookmarkStart w:id="379" w:name="_Toc142482002"/>
      <w:r>
        <w:t>· DL receptions within DL subband(s) are allowed in the symbol</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EC78F18" w14:textId="77777777" w:rsidR="007D306F" w:rsidRDefault="00875C80" w:rsidP="007D306F">
      <w:pPr>
        <w:pStyle w:val="Proposal"/>
        <w:numPr>
          <w:ilvl w:val="0"/>
          <w:numId w:val="0"/>
        </w:numPr>
        <w:spacing w:before="0" w:after="0"/>
        <w:ind w:left="360"/>
      </w:pPr>
      <w:bookmarkStart w:id="380" w:name="_Toc142394792"/>
      <w:bookmarkStart w:id="381" w:name="_Toc142394884"/>
      <w:bookmarkStart w:id="382" w:name="_Toc142397628"/>
      <w:bookmarkStart w:id="383" w:name="_Toc142397726"/>
      <w:bookmarkStart w:id="384" w:name="_Toc142397933"/>
      <w:bookmarkStart w:id="385" w:name="_Toc142399659"/>
      <w:bookmarkStart w:id="386" w:name="_Toc142400745"/>
      <w:bookmarkStart w:id="387" w:name="_Toc142400844"/>
      <w:bookmarkStart w:id="388" w:name="_Toc142400942"/>
      <w:bookmarkStart w:id="389" w:name="_Toc142401052"/>
      <w:bookmarkStart w:id="390" w:name="_Toc142401225"/>
      <w:bookmarkStart w:id="391" w:name="_Toc142466570"/>
      <w:bookmarkStart w:id="392" w:name="_Toc142481189"/>
      <w:bookmarkStart w:id="393" w:name="_Toc142482003"/>
      <w:r w:rsidRPr="00EF158A">
        <w:rPr>
          <w:highlight w:val="yellow"/>
        </w:rPr>
        <w:t>· The symbol can be converted to a DL-only symbol</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2EA8172" w14:textId="1DC2A1D8" w:rsidR="00A8742B" w:rsidRDefault="00A8742B" w:rsidP="007D306F">
      <w:pPr>
        <w:pStyle w:val="Proposal"/>
        <w:numPr>
          <w:ilvl w:val="0"/>
          <w:numId w:val="0"/>
        </w:numPr>
        <w:spacing w:before="0" w:after="0"/>
        <w:ind w:left="360"/>
      </w:pPr>
      <w:bookmarkStart w:id="394" w:name="_Toc142394793"/>
      <w:bookmarkStart w:id="395" w:name="_Toc142394885"/>
      <w:bookmarkStart w:id="396" w:name="_Toc142397629"/>
      <w:bookmarkStart w:id="397" w:name="_Toc142397727"/>
      <w:bookmarkStart w:id="398" w:name="_Toc142397934"/>
      <w:bookmarkStart w:id="399" w:name="_Toc142399660"/>
      <w:bookmarkStart w:id="400" w:name="_Toc142400746"/>
      <w:bookmarkStart w:id="401" w:name="_Toc142400845"/>
      <w:bookmarkStart w:id="402" w:name="_Toc142400943"/>
      <w:bookmarkStart w:id="403" w:name="_Toc142401053"/>
      <w:bookmarkStart w:id="404" w:name="_Toc142401226"/>
      <w:bookmarkStart w:id="405" w:name="_Toc142466571"/>
      <w:bookmarkStart w:id="406" w:name="_Toc142481190"/>
      <w:bookmarkStart w:id="407" w:name="_Toc142482004"/>
      <w:r>
        <w:t>Note: UL transmissions are within active UL BWP and DL receptions are within active DL BWP in the symbol</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528A52B" w14:textId="28AA8B8A" w:rsidR="00137A13" w:rsidRPr="007D306F" w:rsidRDefault="009D558B" w:rsidP="007D306F">
      <w:pPr>
        <w:spacing w:before="240" w:after="120"/>
        <w:jc w:val="both"/>
        <w:rPr>
          <w:lang w:eastAsia="zh-CN"/>
        </w:rPr>
      </w:pPr>
      <w:r w:rsidRPr="007D306F">
        <w:rPr>
          <w:lang w:eastAsia="zh-CN"/>
        </w:rPr>
        <w:t xml:space="preserve">For a </w:t>
      </w:r>
      <w:r w:rsidR="00137A13" w:rsidRPr="007D306F">
        <w:rPr>
          <w:lang w:eastAsia="zh-CN"/>
        </w:rPr>
        <w:t>UE semi-statically configured with UL subband in a SBFD symbol configured as flexible</w:t>
      </w:r>
      <w:r w:rsidR="001F1D9E" w:rsidRPr="007D306F">
        <w:rPr>
          <w:lang w:eastAsia="zh-CN"/>
        </w:rPr>
        <w:t xml:space="preserve">, in RAN1 #112-bis-e the agreement was updated as: </w:t>
      </w:r>
    </w:p>
    <w:tbl>
      <w:tblPr>
        <w:tblStyle w:val="TableGrid"/>
        <w:tblW w:w="0" w:type="auto"/>
        <w:tblLook w:val="04A0" w:firstRow="1" w:lastRow="0" w:firstColumn="1" w:lastColumn="0" w:noHBand="0" w:noVBand="1"/>
      </w:tblPr>
      <w:tblGrid>
        <w:gridCol w:w="9629"/>
      </w:tblGrid>
      <w:tr w:rsidR="00137A13" w14:paraId="0C2CA89B" w14:textId="77777777">
        <w:tc>
          <w:tcPr>
            <w:tcW w:w="9629" w:type="dxa"/>
          </w:tcPr>
          <w:p w14:paraId="3BF85540" w14:textId="77777777" w:rsidR="00C070A4" w:rsidRDefault="00C070A4" w:rsidP="00C070A4">
            <w:pPr>
              <w:rPr>
                <w:szCs w:val="21"/>
                <w:highlight w:val="green"/>
                <w:lang w:eastAsia="zh-CN"/>
              </w:rPr>
            </w:pPr>
            <w:r>
              <w:rPr>
                <w:highlight w:val="green"/>
                <w:lang w:val="en-US" w:eastAsia="zh-CN"/>
              </w:rPr>
              <w:t>Agreement:</w:t>
            </w:r>
          </w:p>
          <w:p w14:paraId="40EB5E65" w14:textId="039EE630" w:rsidR="00C070A4" w:rsidRPr="007D306F" w:rsidRDefault="00C070A4" w:rsidP="00C070A4">
            <w:pPr>
              <w:pStyle w:val="ListParagraph"/>
              <w:numPr>
                <w:ilvl w:val="0"/>
                <w:numId w:val="133"/>
              </w:numPr>
              <w:overflowPunct w:val="0"/>
              <w:autoSpaceDE w:val="0"/>
              <w:autoSpaceDN w:val="0"/>
              <w:adjustRightInd w:val="0"/>
              <w:spacing w:after="180"/>
              <w:rPr>
                <w:sz w:val="22"/>
                <w:szCs w:val="18"/>
              </w:rPr>
            </w:pPr>
            <w:proofErr w:type="spellStart"/>
            <w:r w:rsidRPr="007D306F">
              <w:rPr>
                <w:sz w:val="22"/>
                <w:szCs w:val="22"/>
              </w:rPr>
              <w:t>Endorse</w:t>
            </w:r>
            <w:proofErr w:type="spellEnd"/>
            <w:r w:rsidRPr="007D306F">
              <w:rPr>
                <w:sz w:val="22"/>
                <w:szCs w:val="22"/>
              </w:rPr>
              <w:t xml:space="preserve"> </w:t>
            </w:r>
            <w:proofErr w:type="spellStart"/>
            <w:r w:rsidRPr="007D306F">
              <w:rPr>
                <w:sz w:val="22"/>
                <w:szCs w:val="22"/>
              </w:rPr>
              <w:t>the</w:t>
            </w:r>
            <w:proofErr w:type="spellEnd"/>
            <w:r w:rsidRPr="007D306F">
              <w:rPr>
                <w:sz w:val="22"/>
                <w:szCs w:val="22"/>
              </w:rPr>
              <w:t xml:space="preserve"> </w:t>
            </w:r>
            <w:proofErr w:type="spellStart"/>
            <w:r w:rsidRPr="007D306F">
              <w:rPr>
                <w:sz w:val="22"/>
                <w:szCs w:val="22"/>
              </w:rPr>
              <w:t>text</w:t>
            </w:r>
            <w:proofErr w:type="spellEnd"/>
            <w:r w:rsidRPr="007D306F">
              <w:rPr>
                <w:sz w:val="22"/>
                <w:szCs w:val="22"/>
              </w:rPr>
              <w:t xml:space="preserve"> </w:t>
            </w:r>
            <w:proofErr w:type="spellStart"/>
            <w:r w:rsidRPr="007D306F">
              <w:rPr>
                <w:sz w:val="22"/>
                <w:szCs w:val="22"/>
              </w:rPr>
              <w:t>proposal</w:t>
            </w:r>
            <w:proofErr w:type="spellEnd"/>
            <w:r w:rsidRPr="007D306F">
              <w:rPr>
                <w:sz w:val="22"/>
                <w:szCs w:val="22"/>
              </w:rPr>
              <w:t xml:space="preserve"> in </w:t>
            </w:r>
            <w:r w:rsidRPr="006437EF">
              <w:rPr>
                <w:sz w:val="22"/>
                <w:szCs w:val="22"/>
              </w:rPr>
              <w:t>R1-2303639</w:t>
            </w:r>
            <w:r w:rsidRPr="007D306F">
              <w:rPr>
                <w:sz w:val="22"/>
                <w:szCs w:val="22"/>
              </w:rPr>
              <w:t xml:space="preserve"> </w:t>
            </w:r>
            <w:proofErr w:type="spellStart"/>
            <w:r w:rsidRPr="007D306F">
              <w:rPr>
                <w:sz w:val="22"/>
                <w:szCs w:val="22"/>
              </w:rPr>
              <w:t>with</w:t>
            </w:r>
            <w:proofErr w:type="spellEnd"/>
            <w:r w:rsidRPr="007D306F">
              <w:rPr>
                <w:sz w:val="22"/>
                <w:szCs w:val="22"/>
              </w:rPr>
              <w:t xml:space="preserve"> </w:t>
            </w:r>
            <w:proofErr w:type="spellStart"/>
            <w:r w:rsidRPr="007D306F">
              <w:rPr>
                <w:sz w:val="22"/>
                <w:szCs w:val="22"/>
              </w:rPr>
              <w:t>the</w:t>
            </w:r>
            <w:proofErr w:type="spellEnd"/>
            <w:r w:rsidRPr="007D306F">
              <w:rPr>
                <w:sz w:val="22"/>
                <w:szCs w:val="22"/>
              </w:rPr>
              <w:t xml:space="preserve"> </w:t>
            </w:r>
            <w:proofErr w:type="spellStart"/>
            <w:r w:rsidRPr="007D306F">
              <w:rPr>
                <w:sz w:val="22"/>
                <w:szCs w:val="22"/>
              </w:rPr>
              <w:t>following</w:t>
            </w:r>
            <w:proofErr w:type="spellEnd"/>
            <w:r w:rsidRPr="007D306F">
              <w:rPr>
                <w:sz w:val="22"/>
                <w:szCs w:val="22"/>
              </w:rPr>
              <w:t xml:space="preserve"> </w:t>
            </w:r>
            <w:proofErr w:type="spellStart"/>
            <w:r w:rsidRPr="007D306F">
              <w:rPr>
                <w:sz w:val="22"/>
                <w:szCs w:val="22"/>
              </w:rPr>
              <w:t>update</w:t>
            </w:r>
            <w:proofErr w:type="spellEnd"/>
            <w:r w:rsidRPr="007D306F">
              <w:rPr>
                <w:sz w:val="22"/>
                <w:szCs w:val="22"/>
              </w:rPr>
              <w:t>.</w:t>
            </w:r>
          </w:p>
          <w:p w14:paraId="2D9D742D" w14:textId="77777777" w:rsidR="00684A72" w:rsidRPr="009B73D7" w:rsidRDefault="00684A72" w:rsidP="00684A72">
            <w:pPr>
              <w:rPr>
                <w:lang w:val="en-US" w:eastAsia="zh-CN"/>
              </w:rPr>
            </w:pPr>
            <w:r w:rsidRPr="007D306F">
              <w:rPr>
                <w:b/>
                <w:bCs/>
              </w:rPr>
              <w:t>6.1.1.3</w:t>
            </w:r>
            <w:r w:rsidRPr="009B73D7">
              <w:rPr>
                <w:lang w:val="en-US" w:eastAsia="zh-CN"/>
              </w:rPr>
              <w:tab/>
            </w:r>
            <w:r w:rsidRPr="007D306F">
              <w:rPr>
                <w:b/>
                <w:bCs/>
              </w:rPr>
              <w:t xml:space="preserve">SBFD operation in symbols configured as flexible in </w:t>
            </w:r>
            <w:r w:rsidRPr="007D306F">
              <w:rPr>
                <w:b/>
                <w:bCs/>
                <w:i/>
                <w:iCs/>
              </w:rPr>
              <w:t>TDD-UL-DL-</w:t>
            </w:r>
            <w:proofErr w:type="spellStart"/>
            <w:r w:rsidRPr="007D306F">
              <w:rPr>
                <w:b/>
                <w:bCs/>
                <w:i/>
                <w:iCs/>
              </w:rPr>
              <w:t>ConfigCommon</w:t>
            </w:r>
            <w:proofErr w:type="spellEnd"/>
          </w:p>
          <w:p w14:paraId="0C7EB825" w14:textId="77777777" w:rsidR="00684A72" w:rsidRPr="007D306F" w:rsidRDefault="00684A72" w:rsidP="00684A72">
            <w:r w:rsidRPr="007D306F">
              <w:t xml:space="preserve">For SBFD operation in a symbol configured as flexible in </w:t>
            </w:r>
            <w:r w:rsidRPr="007D306F">
              <w:rPr>
                <w:i/>
                <w:iCs/>
              </w:rPr>
              <w:t>TDD-UL-DL-</w:t>
            </w:r>
            <w:proofErr w:type="spellStart"/>
            <w:r w:rsidRPr="007D306F">
              <w:rPr>
                <w:i/>
                <w:iCs/>
              </w:rPr>
              <w:t>ConfigCommon</w:t>
            </w:r>
            <w:proofErr w:type="spellEnd"/>
            <w:r w:rsidRPr="007D306F">
              <w:t xml:space="preserve">, the following </w:t>
            </w:r>
            <w:proofErr w:type="spellStart"/>
            <w:r w:rsidRPr="007D306F">
              <w:rPr>
                <w:strike/>
                <w:color w:val="FF0000"/>
              </w:rPr>
              <w:t>options</w:t>
            </w:r>
            <w:r w:rsidRPr="007D306F">
              <w:rPr>
                <w:color w:val="FF0000"/>
                <w:u w:val="single"/>
              </w:rPr>
              <w:t>alternatives</w:t>
            </w:r>
            <w:proofErr w:type="spellEnd"/>
            <w:r w:rsidRPr="007D306F">
              <w:t xml:space="preserve"> are studied for SBFD aware UEs,</w:t>
            </w:r>
          </w:p>
          <w:p w14:paraId="746B1617" w14:textId="77777777" w:rsidR="00684A72" w:rsidRPr="007D306F" w:rsidRDefault="00684A72" w:rsidP="00684A72">
            <w:proofErr w:type="spellStart"/>
            <w:r w:rsidRPr="007D306F">
              <w:rPr>
                <w:strike/>
                <w:color w:val="FF0000"/>
              </w:rPr>
              <w:t>Option</w:t>
            </w:r>
            <w:r w:rsidRPr="007D306F">
              <w:rPr>
                <w:color w:val="FF0000"/>
                <w:u w:val="single"/>
              </w:rPr>
              <w:t>Alt</w:t>
            </w:r>
            <w:proofErr w:type="spellEnd"/>
            <w:r w:rsidRPr="007D306F">
              <w:t xml:space="preserve"> 1: </w:t>
            </w:r>
          </w:p>
          <w:p w14:paraId="4B3B6877" w14:textId="77777777" w:rsidR="00684A72" w:rsidRPr="007D306F" w:rsidRDefault="00684A72" w:rsidP="00684A72">
            <w:pPr>
              <w:numPr>
                <w:ilvl w:val="0"/>
                <w:numId w:val="132"/>
              </w:numPr>
              <w:spacing w:line="252" w:lineRule="auto"/>
              <w:jc w:val="both"/>
            </w:pPr>
            <w:r w:rsidRPr="007D306F">
              <w:t>UL transmissions within UL subband are allowed in the symbol</w:t>
            </w:r>
          </w:p>
          <w:p w14:paraId="41237DAA" w14:textId="77777777" w:rsidR="00684A72" w:rsidRPr="007D306F" w:rsidRDefault="00684A72" w:rsidP="00684A72">
            <w:pPr>
              <w:numPr>
                <w:ilvl w:val="0"/>
                <w:numId w:val="132"/>
              </w:numPr>
              <w:spacing w:line="252" w:lineRule="auto"/>
              <w:jc w:val="both"/>
            </w:pPr>
            <w:r w:rsidRPr="007D306F">
              <w:t>UL transmissions outside UL subband are not allowed in the symbol</w:t>
            </w:r>
          </w:p>
          <w:p w14:paraId="0998B3D5" w14:textId="77777777" w:rsidR="00684A72" w:rsidRPr="007D306F" w:rsidRDefault="00684A72" w:rsidP="00684A72">
            <w:pPr>
              <w:numPr>
                <w:ilvl w:val="0"/>
                <w:numId w:val="132"/>
              </w:numPr>
              <w:spacing w:line="252" w:lineRule="auto"/>
              <w:jc w:val="both"/>
            </w:pPr>
            <w:r w:rsidRPr="007D306F">
              <w:t>Frequency locations of DL subband(s) are known to the SBFD aware UE</w:t>
            </w:r>
          </w:p>
          <w:p w14:paraId="4237BA63" w14:textId="77777777" w:rsidR="00684A72" w:rsidRPr="007D306F" w:rsidRDefault="00684A72" w:rsidP="00684A72">
            <w:pPr>
              <w:numPr>
                <w:ilvl w:val="0"/>
                <w:numId w:val="132"/>
              </w:numPr>
              <w:spacing w:line="252" w:lineRule="auto"/>
              <w:jc w:val="both"/>
            </w:pPr>
            <w:r w:rsidRPr="007D306F">
              <w:t>DL receptions within DL subband(s) are allowed in the symbol</w:t>
            </w:r>
          </w:p>
          <w:p w14:paraId="6EF630CB" w14:textId="77777777" w:rsidR="00684A72" w:rsidRPr="007D306F" w:rsidRDefault="00684A72" w:rsidP="00684A72">
            <w:pPr>
              <w:numPr>
                <w:ilvl w:val="0"/>
                <w:numId w:val="132"/>
              </w:numPr>
              <w:spacing w:line="252" w:lineRule="auto"/>
              <w:jc w:val="both"/>
            </w:pPr>
            <w:r w:rsidRPr="007D306F">
              <w:t>FFS: Whether DL receptions outside DL subband(s) are allowed or not in the symbol</w:t>
            </w:r>
          </w:p>
          <w:p w14:paraId="75BACADD" w14:textId="77777777" w:rsidR="00684A72" w:rsidRPr="007D306F" w:rsidRDefault="00684A72" w:rsidP="00684A72">
            <w:proofErr w:type="spellStart"/>
            <w:r w:rsidRPr="007D306F">
              <w:rPr>
                <w:strike/>
                <w:color w:val="FF0000"/>
              </w:rPr>
              <w:t>Option</w:t>
            </w:r>
            <w:r w:rsidRPr="007D306F">
              <w:rPr>
                <w:color w:val="FF0000"/>
                <w:u w:val="single"/>
              </w:rPr>
              <w:t>Alt</w:t>
            </w:r>
            <w:proofErr w:type="spellEnd"/>
            <w:r w:rsidRPr="007D306F">
              <w:t xml:space="preserve"> 2: </w:t>
            </w:r>
          </w:p>
          <w:p w14:paraId="1A056883" w14:textId="77777777" w:rsidR="00684A72" w:rsidRPr="007D306F" w:rsidRDefault="00684A72" w:rsidP="00684A72">
            <w:pPr>
              <w:numPr>
                <w:ilvl w:val="0"/>
                <w:numId w:val="132"/>
              </w:numPr>
              <w:spacing w:line="252" w:lineRule="auto"/>
              <w:jc w:val="both"/>
            </w:pPr>
            <w:r w:rsidRPr="007D306F">
              <w:t>UL transmissions within UL subband are allowed in the symbol</w:t>
            </w:r>
          </w:p>
          <w:p w14:paraId="5C87368A" w14:textId="77777777" w:rsidR="00684A72" w:rsidRPr="007D306F" w:rsidRDefault="00684A72" w:rsidP="00684A72">
            <w:pPr>
              <w:numPr>
                <w:ilvl w:val="0"/>
                <w:numId w:val="132"/>
              </w:numPr>
              <w:spacing w:line="252" w:lineRule="auto"/>
              <w:jc w:val="both"/>
            </w:pPr>
            <w:r w:rsidRPr="007D306F">
              <w:t xml:space="preserve">The RBs outside the UL subband can be used as either UL, or DL excluding </w:t>
            </w:r>
            <w:proofErr w:type="spellStart"/>
            <w:r w:rsidRPr="007D306F">
              <w:t>guardband</w:t>
            </w:r>
            <w:proofErr w:type="spellEnd"/>
            <w:r w:rsidRPr="007D306F">
              <w:t xml:space="preserve">(s) if used, in the symbol from </w:t>
            </w:r>
            <w:proofErr w:type="spellStart"/>
            <w:r w:rsidRPr="007D306F">
              <w:t>gNB’s</w:t>
            </w:r>
            <w:proofErr w:type="spellEnd"/>
            <w:r w:rsidRPr="007D306F">
              <w:t xml:space="preserve"> perspective, and the transmission direction for all those RBs is the same</w:t>
            </w:r>
          </w:p>
          <w:p w14:paraId="4A443AE0" w14:textId="77777777" w:rsidR="00684A72" w:rsidRPr="007D306F" w:rsidRDefault="00684A72" w:rsidP="00684A72">
            <w:pPr>
              <w:numPr>
                <w:ilvl w:val="1"/>
                <w:numId w:val="132"/>
              </w:numPr>
              <w:spacing w:line="252" w:lineRule="auto"/>
              <w:jc w:val="both"/>
            </w:pPr>
            <w:r w:rsidRPr="007D306F">
              <w:t>FFS: SBFD aware UE behaviours</w:t>
            </w:r>
          </w:p>
          <w:p w14:paraId="36938F0C" w14:textId="77777777" w:rsidR="00684A72" w:rsidRPr="007D306F" w:rsidRDefault="00684A72" w:rsidP="00684A72">
            <w:pPr>
              <w:numPr>
                <w:ilvl w:val="1"/>
                <w:numId w:val="132"/>
              </w:numPr>
              <w:spacing w:line="252" w:lineRule="auto"/>
              <w:jc w:val="both"/>
            </w:pPr>
            <w:r w:rsidRPr="007D306F">
              <w:t xml:space="preserve">FFS: </w:t>
            </w:r>
            <w:proofErr w:type="gramStart"/>
            <w:r w:rsidRPr="007D306F">
              <w:t>Whether or not</w:t>
            </w:r>
            <w:proofErr w:type="gramEnd"/>
            <w:r w:rsidRPr="007D306F">
              <w:t xml:space="preserve"> signalling of </w:t>
            </w:r>
            <w:proofErr w:type="spellStart"/>
            <w:r w:rsidRPr="007D306F">
              <w:t>guardband</w:t>
            </w:r>
            <w:proofErr w:type="spellEnd"/>
            <w:r w:rsidRPr="007D306F">
              <w:t>(s) is needed</w:t>
            </w:r>
          </w:p>
          <w:p w14:paraId="55E399DF" w14:textId="77777777" w:rsidR="00684A72" w:rsidRPr="007D306F" w:rsidRDefault="00684A72" w:rsidP="00684A72">
            <w:pPr>
              <w:numPr>
                <w:ilvl w:val="0"/>
                <w:numId w:val="132"/>
              </w:numPr>
              <w:spacing w:line="252" w:lineRule="auto"/>
              <w:jc w:val="both"/>
            </w:pPr>
            <w:r w:rsidRPr="007D306F">
              <w:t xml:space="preserve">FFS: </w:t>
            </w:r>
            <w:proofErr w:type="gramStart"/>
            <w:r w:rsidRPr="007D306F">
              <w:t>Whether or not</w:t>
            </w:r>
            <w:proofErr w:type="gramEnd"/>
            <w:r w:rsidRPr="007D306F">
              <w:t xml:space="preserve"> the symbol can be converted to a DL-only symbol</w:t>
            </w:r>
          </w:p>
          <w:p w14:paraId="1792EA0A" w14:textId="77777777" w:rsidR="00684A72" w:rsidRPr="007D306F" w:rsidRDefault="00684A72" w:rsidP="00684A72">
            <w:pPr>
              <w:numPr>
                <w:ilvl w:val="0"/>
                <w:numId w:val="132"/>
              </w:numPr>
              <w:spacing w:line="252" w:lineRule="auto"/>
              <w:jc w:val="both"/>
            </w:pPr>
            <w:r w:rsidRPr="007D306F">
              <w:t>Frequency locations of DL subband(s) are known to the SBFD aware UE</w:t>
            </w:r>
          </w:p>
          <w:p w14:paraId="44C38183" w14:textId="7A2935EE" w:rsidR="00137A13" w:rsidRDefault="00684A72" w:rsidP="00684A72">
            <w:pPr>
              <w:spacing w:after="120"/>
              <w:jc w:val="both"/>
              <w:rPr>
                <w:lang w:eastAsia="zh-CN"/>
              </w:rPr>
            </w:pPr>
            <w:r w:rsidRPr="007D306F">
              <w:t>DL receptions within DL subband(s) are allowed in the symbol</w:t>
            </w:r>
          </w:p>
        </w:tc>
      </w:tr>
    </w:tbl>
    <w:p w14:paraId="593CF8E7" w14:textId="1A02B952" w:rsidR="00137A13" w:rsidRDefault="00137A13" w:rsidP="00137A13">
      <w:pPr>
        <w:spacing w:after="120"/>
        <w:jc w:val="both"/>
        <w:rPr>
          <w:lang w:eastAsia="zh-CN"/>
        </w:rPr>
      </w:pPr>
    </w:p>
    <w:p w14:paraId="13258F89" w14:textId="3E43B533" w:rsidR="00137A13" w:rsidRDefault="00137A13" w:rsidP="00137A13">
      <w:pPr>
        <w:spacing w:after="120"/>
        <w:jc w:val="both"/>
        <w:rPr>
          <w:lang w:eastAsia="zh-CN"/>
        </w:rPr>
      </w:pPr>
      <w:r>
        <w:rPr>
          <w:lang w:eastAsia="zh-CN"/>
        </w:rPr>
        <w:t xml:space="preserve">The first </w:t>
      </w:r>
      <w:r w:rsidR="00F8202E">
        <w:rPr>
          <w:lang w:eastAsia="zh-CN"/>
        </w:rPr>
        <w:t>alternative</w:t>
      </w:r>
      <w:r>
        <w:rPr>
          <w:lang w:eastAsia="zh-CN"/>
        </w:rPr>
        <w:t xml:space="preserve"> is </w:t>
      </w:r>
      <w:proofErr w:type="gramStart"/>
      <w:r>
        <w:rPr>
          <w:lang w:eastAsia="zh-CN"/>
        </w:rPr>
        <w:t>similar to</w:t>
      </w:r>
      <w:proofErr w:type="gramEnd"/>
      <w:r>
        <w:rPr>
          <w:lang w:eastAsia="zh-CN"/>
        </w:rPr>
        <w:t xml:space="preserve"> the agreement reached for SBFD operation in symbols configured as DL. UL transmissions are allowed only within the UL subband, and the DL subband(s) frequency locations are known to the SBFD aware UE. There is still an FFS on whether DL receptions outside DL subband(s) are allowed or not in the symbol. </w:t>
      </w:r>
      <w:r w:rsidR="00C63C71">
        <w:rPr>
          <w:lang w:eastAsia="zh-CN"/>
        </w:rPr>
        <w:t xml:space="preserve">With Alt </w:t>
      </w:r>
      <w:r w:rsidR="00547E91">
        <w:rPr>
          <w:lang w:eastAsia="zh-CN"/>
        </w:rPr>
        <w:t xml:space="preserve">1, </w:t>
      </w:r>
      <w:r w:rsidR="00AC4022">
        <w:rPr>
          <w:lang w:eastAsia="zh-CN"/>
        </w:rPr>
        <w:t xml:space="preserve">SBFD UEs </w:t>
      </w:r>
      <w:r w:rsidR="00547E91">
        <w:rPr>
          <w:lang w:eastAsia="zh-CN"/>
        </w:rPr>
        <w:t xml:space="preserve">cannot transmit in UL outside </w:t>
      </w:r>
      <w:r w:rsidR="00C87816">
        <w:rPr>
          <w:lang w:eastAsia="zh-CN"/>
        </w:rPr>
        <w:t>of the UL subband</w:t>
      </w:r>
      <w:r w:rsidR="000B6FE9">
        <w:rPr>
          <w:lang w:eastAsia="zh-CN"/>
        </w:rPr>
        <w:t xml:space="preserve"> in symbols configured as Flexible </w:t>
      </w:r>
      <w:r w:rsidR="000B6FE9" w:rsidRPr="000B6FE9">
        <w:t>in TDD-UL-DL-</w:t>
      </w:r>
      <w:proofErr w:type="spellStart"/>
      <w:r w:rsidR="000B6FE9" w:rsidRPr="000B6FE9">
        <w:t>ConfigCommon</w:t>
      </w:r>
      <w:proofErr w:type="spellEnd"/>
      <w:r w:rsidR="000B6FE9">
        <w:rPr>
          <w:lang w:eastAsia="zh-CN"/>
        </w:rPr>
        <w:t xml:space="preserve">, </w:t>
      </w:r>
      <w:r w:rsidR="00C87816">
        <w:rPr>
          <w:lang w:eastAsia="zh-CN"/>
        </w:rPr>
        <w:t xml:space="preserve">which </w:t>
      </w:r>
      <w:r w:rsidR="00825AD3">
        <w:rPr>
          <w:lang w:eastAsia="zh-CN"/>
        </w:rPr>
        <w:t xml:space="preserve">limits </w:t>
      </w:r>
      <w:r w:rsidR="000B6FE9">
        <w:rPr>
          <w:lang w:eastAsia="zh-CN"/>
        </w:rPr>
        <w:t xml:space="preserve">the </w:t>
      </w:r>
      <w:r w:rsidR="000E1388">
        <w:rPr>
          <w:lang w:eastAsia="zh-CN"/>
        </w:rPr>
        <w:t xml:space="preserve">gNB flexibility as compared </w:t>
      </w:r>
      <w:r w:rsidR="000B6FE9">
        <w:rPr>
          <w:lang w:eastAsia="zh-CN"/>
        </w:rPr>
        <w:t>to legacy UEs.</w:t>
      </w:r>
      <w:r w:rsidR="00AC4022">
        <w:rPr>
          <w:lang w:eastAsia="zh-CN"/>
        </w:rPr>
        <w:t xml:space="preserve"> </w:t>
      </w:r>
      <w:r>
        <w:rPr>
          <w:lang w:eastAsia="zh-CN"/>
        </w:rPr>
        <w:t xml:space="preserve">The second option, on the other hand, increases the SBFD operation flexibility by allowing all RBs outside of the UL subband to also be used for UL. The </w:t>
      </w:r>
      <w:proofErr w:type="spellStart"/>
      <w:r>
        <w:rPr>
          <w:lang w:eastAsia="zh-CN"/>
        </w:rPr>
        <w:t>behavior</w:t>
      </w:r>
      <w:proofErr w:type="spellEnd"/>
      <w:r>
        <w:rPr>
          <w:lang w:eastAsia="zh-CN"/>
        </w:rPr>
        <w:t xml:space="preserve"> in SBFD symbols outside the UL subband in Option 2 is </w:t>
      </w:r>
      <w:proofErr w:type="gramStart"/>
      <w:r>
        <w:rPr>
          <w:lang w:eastAsia="zh-CN"/>
        </w:rPr>
        <w:t>similar to</w:t>
      </w:r>
      <w:proofErr w:type="gramEnd"/>
      <w:r>
        <w:rPr>
          <w:lang w:eastAsia="zh-CN"/>
        </w:rPr>
        <w:t xml:space="preserve"> the </w:t>
      </w:r>
      <w:proofErr w:type="spellStart"/>
      <w:r>
        <w:rPr>
          <w:lang w:eastAsia="zh-CN"/>
        </w:rPr>
        <w:t>behavior</w:t>
      </w:r>
      <w:proofErr w:type="spellEnd"/>
      <w:r>
        <w:rPr>
          <w:lang w:eastAsia="zh-CN"/>
        </w:rPr>
        <w:t xml:space="preserve"> in legacy Flexible symbols</w:t>
      </w:r>
      <w:r w:rsidR="00E37017">
        <w:rPr>
          <w:lang w:eastAsia="zh-CN"/>
        </w:rPr>
        <w:t xml:space="preserve">, though it is not clear what “from </w:t>
      </w:r>
      <w:proofErr w:type="spellStart"/>
      <w:r w:rsidR="00E37017" w:rsidRPr="009D20E1">
        <w:t>gNB’s</w:t>
      </w:r>
      <w:proofErr w:type="spellEnd"/>
      <w:r w:rsidR="00E37017" w:rsidRPr="009D20E1">
        <w:t xml:space="preserve"> perspective</w:t>
      </w:r>
      <w:r w:rsidR="00E37017">
        <w:t>” mea</w:t>
      </w:r>
      <w:r w:rsidR="00BA4922">
        <w:t xml:space="preserve">ns in the agreement. It if means that RBs </w:t>
      </w:r>
      <w:r w:rsidR="000D3CF5">
        <w:t>outside the UL subband can be used</w:t>
      </w:r>
      <w:r w:rsidR="0041117A">
        <w:t xml:space="preserve"> for UL by the gNB but not by SBFD aware UEs, then </w:t>
      </w:r>
      <w:r w:rsidR="00755F8B">
        <w:t xml:space="preserve">there is in practice no difference between </w:t>
      </w:r>
      <w:r w:rsidR="00755F8B" w:rsidRPr="00593612">
        <w:t>Alt</w:t>
      </w:r>
      <w:r w:rsidR="006C04E6">
        <w:t> </w:t>
      </w:r>
      <w:r w:rsidR="00755F8B" w:rsidRPr="00593612">
        <w:t>1</w:t>
      </w:r>
      <w:r w:rsidR="00755F8B">
        <w:t xml:space="preserve"> and Alt</w:t>
      </w:r>
      <w:r w:rsidR="00AB7913">
        <w:t> </w:t>
      </w:r>
      <w:r w:rsidR="00755F8B">
        <w:t>2</w:t>
      </w:r>
      <w:r>
        <w:rPr>
          <w:lang w:eastAsia="zh-CN"/>
        </w:rPr>
        <w:t>.</w:t>
      </w:r>
      <w:r w:rsidR="00AB7913">
        <w:rPr>
          <w:lang w:eastAsia="zh-CN"/>
        </w:rPr>
        <w:t xml:space="preserve"> If </w:t>
      </w:r>
      <w:r w:rsidR="005E5A97">
        <w:t xml:space="preserve">RBs outside the UL subband can be used for UL by SBFD aware UEs, then </w:t>
      </w:r>
      <w:r w:rsidR="006C04E6">
        <w:t>there</w:t>
      </w:r>
      <w:r w:rsidR="005E5A97">
        <w:t xml:space="preserve"> is no need to specify </w:t>
      </w:r>
      <w:r w:rsidR="005E5A97">
        <w:rPr>
          <w:lang w:eastAsia="zh-CN"/>
        </w:rPr>
        <w:t xml:space="preserve">“from </w:t>
      </w:r>
      <w:proofErr w:type="spellStart"/>
      <w:r w:rsidR="005E5A97" w:rsidRPr="009D20E1">
        <w:t>gNB’s</w:t>
      </w:r>
      <w:proofErr w:type="spellEnd"/>
      <w:r w:rsidR="005E5A97" w:rsidRPr="009D20E1">
        <w:t xml:space="preserve"> perspective</w:t>
      </w:r>
      <w:r w:rsidR="005E5A97">
        <w:t>” in the agreement.</w:t>
      </w:r>
      <w:r>
        <w:rPr>
          <w:lang w:eastAsia="zh-CN"/>
        </w:rPr>
        <w:t xml:space="preserve"> </w:t>
      </w:r>
      <w:r w:rsidR="005E5A97">
        <w:rPr>
          <w:lang w:eastAsia="zh-CN"/>
        </w:rPr>
        <w:t>Note that s</w:t>
      </w:r>
      <w:r>
        <w:rPr>
          <w:lang w:eastAsia="zh-CN"/>
        </w:rPr>
        <w:t xml:space="preserve">ymbols configured as flexible </w:t>
      </w:r>
      <w:r w:rsidR="005E5A97" w:rsidRPr="000B6FE9">
        <w:t>in TDD-UL-DL-</w:t>
      </w:r>
      <w:proofErr w:type="spellStart"/>
      <w:r w:rsidR="005E5A97" w:rsidRPr="000B6FE9">
        <w:t>ConfigCommon</w:t>
      </w:r>
      <w:proofErr w:type="spellEnd"/>
      <w:r w:rsidR="005E5A97">
        <w:rPr>
          <w:lang w:eastAsia="zh-CN"/>
        </w:rPr>
        <w:t xml:space="preserve"> </w:t>
      </w:r>
      <w:r>
        <w:rPr>
          <w:lang w:eastAsia="zh-CN"/>
        </w:rPr>
        <w:t>can be used for DL or UL</w:t>
      </w:r>
      <w:r w:rsidRPr="00B17C36">
        <w:rPr>
          <w:lang w:eastAsia="zh-CN"/>
        </w:rPr>
        <w:t xml:space="preserve"> </w:t>
      </w:r>
      <w:r>
        <w:rPr>
          <w:lang w:eastAsia="zh-CN"/>
        </w:rPr>
        <w:t>since Rel-15, and in this perspective, we think this should still be possible for SBFD operation in flexible symbols.</w:t>
      </w:r>
      <w:r w:rsidR="004F0163">
        <w:rPr>
          <w:lang w:eastAsia="zh-CN"/>
        </w:rPr>
        <w:t xml:space="preserve"> </w:t>
      </w:r>
    </w:p>
    <w:p w14:paraId="2300378A" w14:textId="1A02B952" w:rsidR="00137A13" w:rsidRPr="004F0163" w:rsidRDefault="00137A13" w:rsidP="00137A13">
      <w:pPr>
        <w:pStyle w:val="Observation"/>
        <w:rPr>
          <w:lang w:eastAsia="zh-CN"/>
        </w:rPr>
      </w:pPr>
      <w:bookmarkStart w:id="408" w:name="_Toc142394794"/>
      <w:bookmarkStart w:id="409" w:name="_Toc142394886"/>
      <w:bookmarkStart w:id="410" w:name="_Toc142397630"/>
      <w:bookmarkStart w:id="411" w:name="_Toc142397728"/>
      <w:bookmarkStart w:id="412" w:name="_Toc142397935"/>
      <w:bookmarkStart w:id="413" w:name="_Toc142399661"/>
      <w:bookmarkStart w:id="414" w:name="_Toc142400747"/>
      <w:bookmarkStart w:id="415" w:name="_Toc142400846"/>
      <w:bookmarkStart w:id="416" w:name="_Toc142400944"/>
      <w:bookmarkStart w:id="417" w:name="_Toc142401054"/>
      <w:bookmarkStart w:id="418" w:name="_Toc142401227"/>
      <w:bookmarkStart w:id="419" w:name="_Toc142466572"/>
      <w:bookmarkStart w:id="420" w:name="_Toc142481191"/>
      <w:bookmarkStart w:id="421" w:name="_Toc142482005"/>
      <w:r w:rsidRPr="556376B8">
        <w:rPr>
          <w:bCs/>
          <w:iCs/>
          <w:lang w:eastAsia="zh-CN"/>
        </w:rPr>
        <w:t xml:space="preserve">Symbols configured as flexible </w:t>
      </w:r>
      <w:r>
        <w:rPr>
          <w:bCs/>
          <w:iCs/>
          <w:lang w:eastAsia="zh-CN"/>
        </w:rPr>
        <w:t xml:space="preserve">in </w:t>
      </w:r>
      <w:r w:rsidRPr="00784FC0">
        <w:rPr>
          <w:bCs/>
          <w:iCs/>
          <w:lang w:eastAsia="zh-CN"/>
        </w:rPr>
        <w:t>TDD-UL-DL-</w:t>
      </w:r>
      <w:proofErr w:type="spellStart"/>
      <w:r w:rsidRPr="00784FC0">
        <w:rPr>
          <w:bCs/>
          <w:iCs/>
          <w:lang w:eastAsia="zh-CN"/>
        </w:rPr>
        <w:t>ConfigCommon</w:t>
      </w:r>
      <w:proofErr w:type="spellEnd"/>
      <w:r w:rsidRPr="00784FC0">
        <w:rPr>
          <w:bCs/>
          <w:iCs/>
          <w:lang w:eastAsia="zh-CN"/>
        </w:rPr>
        <w:t xml:space="preserve"> </w:t>
      </w:r>
      <w:r w:rsidRPr="556376B8">
        <w:rPr>
          <w:bCs/>
          <w:iCs/>
          <w:lang w:eastAsia="zh-CN"/>
        </w:rPr>
        <w:t>can be used for DL or UL since Rel-15.</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F73DA68" w14:textId="4BB00881" w:rsidR="004F0163" w:rsidRPr="008A6832" w:rsidRDefault="00A356BD" w:rsidP="00F70485">
      <w:pPr>
        <w:spacing w:after="120"/>
        <w:jc w:val="both"/>
      </w:pPr>
      <w:bookmarkStart w:id="422" w:name="_Toc142394795"/>
      <w:bookmarkStart w:id="423" w:name="_Toc142394887"/>
      <w:r>
        <w:rPr>
          <w:lang w:eastAsia="zh-CN"/>
        </w:rPr>
        <w:t>C</w:t>
      </w:r>
      <w:r w:rsidR="004F0163" w:rsidRPr="00EF158A">
        <w:rPr>
          <w:b/>
          <w:i/>
          <w:lang w:eastAsia="zh-CN"/>
        </w:rPr>
        <w:t xml:space="preserve">onsidering the options </w:t>
      </w:r>
      <w:r w:rsidR="00B102F2" w:rsidRPr="00EF158A">
        <w:rPr>
          <w:b/>
          <w:i/>
          <w:lang w:eastAsia="zh-CN"/>
        </w:rPr>
        <w:t xml:space="preserve">discussed in RAN1 #112-bis for </w:t>
      </w:r>
      <w:r w:rsidR="00E17EA4" w:rsidRPr="008A6832">
        <w:rPr>
          <w:b/>
          <w:i/>
        </w:rPr>
        <w:t xml:space="preserve">SBFD operation in symbols configured as </w:t>
      </w:r>
      <w:r w:rsidR="006C04E6">
        <w:rPr>
          <w:b/>
          <w:i/>
        </w:rPr>
        <w:t>F</w:t>
      </w:r>
      <w:r w:rsidR="00E17EA4" w:rsidRPr="008A6832">
        <w:rPr>
          <w:b/>
          <w:i/>
        </w:rPr>
        <w:t>lexible in TDD-UL-DL-</w:t>
      </w:r>
      <w:proofErr w:type="spellStart"/>
      <w:r w:rsidR="00E17EA4" w:rsidRPr="008A6832">
        <w:rPr>
          <w:b/>
          <w:i/>
        </w:rPr>
        <w:t>ConfigCommon</w:t>
      </w:r>
      <w:proofErr w:type="spellEnd"/>
      <w:r w:rsidR="00B102F2" w:rsidRPr="00EF158A">
        <w:rPr>
          <w:b/>
          <w:i/>
          <w:lang w:eastAsia="zh-CN"/>
        </w:rPr>
        <w:t xml:space="preserve">, </w:t>
      </w:r>
      <w:r w:rsidR="00B2491C" w:rsidRPr="00EF158A">
        <w:rPr>
          <w:b/>
          <w:i/>
          <w:lang w:eastAsia="zh-CN"/>
        </w:rPr>
        <w:t xml:space="preserve">we </w:t>
      </w:r>
      <w:r w:rsidR="00424D01">
        <w:rPr>
          <w:b/>
          <w:i/>
          <w:lang w:eastAsia="zh-CN"/>
        </w:rPr>
        <w:t xml:space="preserve">think it </w:t>
      </w:r>
      <w:r w:rsidR="00E203E6">
        <w:rPr>
          <w:b/>
          <w:i/>
          <w:lang w:eastAsia="zh-CN"/>
        </w:rPr>
        <w:t xml:space="preserve">should be possible </w:t>
      </w:r>
      <w:r w:rsidR="009D7D16">
        <w:rPr>
          <w:b/>
          <w:i/>
          <w:lang w:eastAsia="zh-CN"/>
        </w:rPr>
        <w:t xml:space="preserve">to convert </w:t>
      </w:r>
      <w:r>
        <w:rPr>
          <w:b/>
          <w:i/>
          <w:lang w:eastAsia="zh-CN"/>
        </w:rPr>
        <w:t>the</w:t>
      </w:r>
      <w:r w:rsidR="00E17EA4">
        <w:rPr>
          <w:b/>
          <w:i/>
          <w:lang w:eastAsia="zh-CN"/>
        </w:rPr>
        <w:t xml:space="preserve"> </w:t>
      </w:r>
      <w:r w:rsidR="00B2491C" w:rsidRPr="00EF158A">
        <w:rPr>
          <w:b/>
          <w:i/>
          <w:lang w:eastAsia="zh-CN"/>
        </w:rPr>
        <w:t xml:space="preserve">symbol to a DL-only or </w:t>
      </w:r>
      <w:r>
        <w:rPr>
          <w:b/>
          <w:i/>
          <w:lang w:eastAsia="zh-CN"/>
        </w:rPr>
        <w:t xml:space="preserve">a </w:t>
      </w:r>
      <w:r w:rsidR="00B2491C" w:rsidRPr="00EF158A">
        <w:rPr>
          <w:b/>
          <w:i/>
          <w:lang w:eastAsia="zh-CN"/>
        </w:rPr>
        <w:t>UL-only symbol</w:t>
      </w:r>
      <w:r>
        <w:rPr>
          <w:b/>
          <w:i/>
          <w:lang w:eastAsia="zh-CN"/>
        </w:rPr>
        <w:t xml:space="preserve"> </w:t>
      </w:r>
      <w:r w:rsidR="006C04E6">
        <w:rPr>
          <w:b/>
          <w:i/>
          <w:lang w:eastAsia="zh-CN"/>
        </w:rPr>
        <w:t xml:space="preserve">not to introduce </w:t>
      </w:r>
      <w:r w:rsidR="004C127B">
        <w:rPr>
          <w:b/>
          <w:i/>
          <w:lang w:eastAsia="zh-CN"/>
        </w:rPr>
        <w:t xml:space="preserve">unnecessary scheduling restrictions </w:t>
      </w:r>
      <w:r w:rsidR="00146CAA">
        <w:rPr>
          <w:b/>
          <w:i/>
          <w:lang w:eastAsia="zh-CN"/>
        </w:rPr>
        <w:t>for SBFD-aware UEs</w:t>
      </w:r>
      <w:r w:rsidR="00FD10F3">
        <w:rPr>
          <w:b/>
          <w:i/>
          <w:lang w:eastAsia="zh-CN"/>
        </w:rPr>
        <w:t xml:space="preserve"> as compared to legacy </w:t>
      </w:r>
      <w:proofErr w:type="gramStart"/>
      <w:r w:rsidR="00FD10F3">
        <w:rPr>
          <w:b/>
          <w:i/>
          <w:lang w:eastAsia="zh-CN"/>
        </w:rPr>
        <w:t>UEs</w:t>
      </w:r>
      <w:r w:rsidR="004C127B">
        <w:rPr>
          <w:b/>
          <w:i/>
          <w:lang w:eastAsia="zh-CN"/>
        </w:rPr>
        <w:t xml:space="preserve"> </w:t>
      </w:r>
      <w:r w:rsidR="00765A7D" w:rsidRPr="00EF158A">
        <w:rPr>
          <w:b/>
          <w:i/>
          <w:lang w:eastAsia="zh-CN"/>
        </w:rPr>
        <w:t>.</w:t>
      </w:r>
      <w:proofErr w:type="gramEnd"/>
      <w:r w:rsidR="00765A7D" w:rsidRPr="00EF158A">
        <w:rPr>
          <w:b/>
          <w:i/>
          <w:lang w:eastAsia="zh-CN"/>
        </w:rPr>
        <w:t xml:space="preserve"> </w:t>
      </w:r>
      <w:r w:rsidR="009E572E" w:rsidRPr="00EF158A">
        <w:rPr>
          <w:b/>
          <w:i/>
          <w:lang w:eastAsia="zh-CN"/>
        </w:rPr>
        <w:t xml:space="preserve">Therefore, our preferred alternative </w:t>
      </w:r>
      <w:r w:rsidR="00350B6C" w:rsidRPr="00EF158A">
        <w:rPr>
          <w:b/>
          <w:i/>
          <w:lang w:eastAsia="zh-CN"/>
        </w:rPr>
        <w:t>is Alternative</w:t>
      </w:r>
      <w:r w:rsidR="00FD10F3">
        <w:rPr>
          <w:b/>
          <w:i/>
          <w:lang w:eastAsia="zh-CN"/>
        </w:rPr>
        <w:t> </w:t>
      </w:r>
      <w:r w:rsidR="00DE4CC6" w:rsidRPr="008A6832">
        <w:rPr>
          <w:b/>
          <w:i/>
          <w:lang w:eastAsia="zh-CN"/>
        </w:rPr>
        <w:t>1</w:t>
      </w:r>
      <w:r w:rsidR="00C227DC" w:rsidRPr="008A6832">
        <w:rPr>
          <w:b/>
          <w:i/>
          <w:lang w:eastAsia="zh-CN"/>
        </w:rPr>
        <w:t xml:space="preserve"> with the following update</w:t>
      </w:r>
      <w:r w:rsidR="00293F99">
        <w:rPr>
          <w:b/>
          <w:i/>
          <w:lang w:eastAsia="zh-CN"/>
        </w:rPr>
        <w:t>:</w:t>
      </w:r>
      <w:bookmarkEnd w:id="422"/>
      <w:bookmarkEnd w:id="423"/>
      <w:r w:rsidR="00C227DC" w:rsidRPr="008A6832">
        <w:rPr>
          <w:i/>
        </w:rPr>
        <w:t xml:space="preserve"> </w:t>
      </w:r>
    </w:p>
    <w:p w14:paraId="122AEF84" w14:textId="2677CFB7" w:rsidR="00083133" w:rsidRDefault="00866C87">
      <w:pPr>
        <w:pStyle w:val="Proposal"/>
        <w:spacing w:before="0" w:after="0"/>
        <w:ind w:left="284"/>
      </w:pPr>
      <w:bookmarkStart w:id="424" w:name="_Toc142397631"/>
      <w:bookmarkStart w:id="425" w:name="_Toc142397729"/>
      <w:bookmarkStart w:id="426" w:name="_Toc142397936"/>
      <w:bookmarkStart w:id="427" w:name="_Toc142399662"/>
      <w:bookmarkStart w:id="428" w:name="_Toc142400748"/>
      <w:bookmarkStart w:id="429" w:name="_Toc142400847"/>
      <w:bookmarkStart w:id="430" w:name="_Toc142400945"/>
      <w:bookmarkStart w:id="431" w:name="_Toc142401055"/>
      <w:bookmarkStart w:id="432" w:name="_Toc142401228"/>
      <w:bookmarkStart w:id="433" w:name="_Toc142397632"/>
      <w:bookmarkStart w:id="434" w:name="_Toc142397730"/>
      <w:bookmarkStart w:id="435" w:name="_Toc142397937"/>
      <w:bookmarkStart w:id="436" w:name="_Toc142399663"/>
      <w:bookmarkStart w:id="437" w:name="_Toc142400749"/>
      <w:bookmarkStart w:id="438" w:name="_Toc142400848"/>
      <w:bookmarkStart w:id="439" w:name="_Toc142400946"/>
      <w:bookmarkStart w:id="440" w:name="_Toc142401056"/>
      <w:bookmarkStart w:id="441" w:name="_Toc142401229"/>
      <w:bookmarkStart w:id="442" w:name="_Toc142466573"/>
      <w:bookmarkStart w:id="443" w:name="_Toc142481192"/>
      <w:bookmarkStart w:id="444" w:name="_Toc142482006"/>
      <w:bookmarkEnd w:id="424"/>
      <w:bookmarkEnd w:id="425"/>
      <w:bookmarkEnd w:id="426"/>
      <w:bookmarkEnd w:id="427"/>
      <w:bookmarkEnd w:id="428"/>
      <w:bookmarkEnd w:id="429"/>
      <w:bookmarkEnd w:id="430"/>
      <w:bookmarkEnd w:id="431"/>
      <w:bookmarkEnd w:id="432"/>
      <w:r w:rsidRPr="00B93C63">
        <w:t xml:space="preserve">For SBFD operation in a symbol configured as flexible in </w:t>
      </w:r>
      <w:r w:rsidRPr="0029495B">
        <w:rPr>
          <w:i/>
          <w:iCs/>
        </w:rPr>
        <w:t>TDD-UL-DL-</w:t>
      </w:r>
      <w:proofErr w:type="spellStart"/>
      <w:r w:rsidRPr="0029495B">
        <w:rPr>
          <w:i/>
          <w:iCs/>
        </w:rPr>
        <w:t>ConfigCommon</w:t>
      </w:r>
      <w:proofErr w:type="spellEnd"/>
      <w:r>
        <w:t>:</w:t>
      </w:r>
      <w:bookmarkEnd w:id="433"/>
      <w:bookmarkEnd w:id="434"/>
      <w:bookmarkEnd w:id="435"/>
      <w:bookmarkEnd w:id="436"/>
      <w:bookmarkEnd w:id="437"/>
      <w:bookmarkEnd w:id="438"/>
      <w:bookmarkEnd w:id="439"/>
      <w:bookmarkEnd w:id="440"/>
      <w:bookmarkEnd w:id="441"/>
      <w:bookmarkEnd w:id="442"/>
      <w:bookmarkEnd w:id="443"/>
      <w:bookmarkEnd w:id="444"/>
    </w:p>
    <w:p w14:paraId="0916C20D" w14:textId="54E4FF73" w:rsidR="00083133" w:rsidRDefault="00981528" w:rsidP="00083133">
      <w:pPr>
        <w:pStyle w:val="Proposal"/>
        <w:numPr>
          <w:ilvl w:val="0"/>
          <w:numId w:val="0"/>
        </w:numPr>
        <w:spacing w:before="0" w:after="0"/>
        <w:ind w:left="284"/>
      </w:pPr>
      <w:bookmarkStart w:id="445" w:name="_Toc142397633"/>
      <w:bookmarkStart w:id="446" w:name="_Toc142397731"/>
      <w:bookmarkStart w:id="447" w:name="_Toc142397938"/>
      <w:bookmarkStart w:id="448" w:name="_Toc142399664"/>
      <w:bookmarkStart w:id="449" w:name="_Toc142400750"/>
      <w:bookmarkStart w:id="450" w:name="_Toc142400849"/>
      <w:bookmarkStart w:id="451" w:name="_Toc142400947"/>
      <w:bookmarkStart w:id="452" w:name="_Toc142401057"/>
      <w:bookmarkStart w:id="453" w:name="_Toc142401230"/>
      <w:bookmarkStart w:id="454" w:name="_Toc142466574"/>
      <w:bookmarkStart w:id="455" w:name="_Toc142481193"/>
      <w:bookmarkStart w:id="456" w:name="_Toc142482007"/>
      <w:r w:rsidRPr="0029495B">
        <w:t>•</w:t>
      </w:r>
      <w:r>
        <w:tab/>
      </w:r>
      <w:r w:rsidRPr="008A6832">
        <w:rPr>
          <w:b w:val="0"/>
        </w:rPr>
        <w:t>UL transmissions within UL subband are allowed in the symbol</w:t>
      </w:r>
      <w:bookmarkEnd w:id="445"/>
      <w:bookmarkEnd w:id="446"/>
      <w:bookmarkEnd w:id="447"/>
      <w:bookmarkEnd w:id="448"/>
      <w:bookmarkEnd w:id="449"/>
      <w:bookmarkEnd w:id="450"/>
      <w:bookmarkEnd w:id="451"/>
      <w:bookmarkEnd w:id="452"/>
      <w:bookmarkEnd w:id="453"/>
      <w:bookmarkEnd w:id="454"/>
      <w:bookmarkEnd w:id="455"/>
      <w:bookmarkEnd w:id="456"/>
    </w:p>
    <w:p w14:paraId="3E09C9E5" w14:textId="39E70E4F" w:rsidR="00083133" w:rsidRDefault="00981528" w:rsidP="00083133">
      <w:pPr>
        <w:pStyle w:val="Proposal"/>
        <w:numPr>
          <w:ilvl w:val="0"/>
          <w:numId w:val="0"/>
        </w:numPr>
        <w:spacing w:before="0" w:after="0"/>
        <w:ind w:left="284"/>
      </w:pPr>
      <w:bookmarkStart w:id="457" w:name="_Toc142397634"/>
      <w:bookmarkStart w:id="458" w:name="_Toc142397732"/>
      <w:bookmarkStart w:id="459" w:name="_Toc142397939"/>
      <w:bookmarkStart w:id="460" w:name="_Toc142399665"/>
      <w:bookmarkStart w:id="461" w:name="_Toc142400751"/>
      <w:bookmarkStart w:id="462" w:name="_Toc142400850"/>
      <w:bookmarkStart w:id="463" w:name="_Toc142400948"/>
      <w:bookmarkStart w:id="464" w:name="_Toc142401058"/>
      <w:bookmarkStart w:id="465" w:name="_Toc142401231"/>
      <w:bookmarkStart w:id="466" w:name="_Toc142466575"/>
      <w:bookmarkStart w:id="467" w:name="_Toc142481194"/>
      <w:bookmarkStart w:id="468" w:name="_Toc142482008"/>
      <w:r w:rsidRPr="008A6832">
        <w:t>•</w:t>
      </w:r>
      <w:r>
        <w:tab/>
      </w:r>
      <w:r w:rsidRPr="008A6832">
        <w:rPr>
          <w:b w:val="0"/>
        </w:rPr>
        <w:t>UL transmissions outside UL subband are not allowed in the symbol</w:t>
      </w:r>
      <w:bookmarkEnd w:id="457"/>
      <w:bookmarkEnd w:id="458"/>
      <w:bookmarkEnd w:id="459"/>
      <w:bookmarkEnd w:id="460"/>
      <w:bookmarkEnd w:id="461"/>
      <w:bookmarkEnd w:id="462"/>
      <w:bookmarkEnd w:id="463"/>
      <w:bookmarkEnd w:id="464"/>
      <w:bookmarkEnd w:id="465"/>
      <w:bookmarkEnd w:id="466"/>
      <w:bookmarkEnd w:id="467"/>
      <w:bookmarkEnd w:id="468"/>
    </w:p>
    <w:p w14:paraId="039FB3C2" w14:textId="4C6A0F3A" w:rsidR="00083133" w:rsidRDefault="00981528" w:rsidP="00083133">
      <w:pPr>
        <w:pStyle w:val="Proposal"/>
        <w:numPr>
          <w:ilvl w:val="0"/>
          <w:numId w:val="0"/>
        </w:numPr>
        <w:spacing w:before="0" w:after="0"/>
        <w:ind w:left="284"/>
      </w:pPr>
      <w:bookmarkStart w:id="469" w:name="_Toc142397635"/>
      <w:bookmarkStart w:id="470" w:name="_Toc142397733"/>
      <w:bookmarkStart w:id="471" w:name="_Toc142397940"/>
      <w:bookmarkStart w:id="472" w:name="_Toc142399666"/>
      <w:bookmarkStart w:id="473" w:name="_Toc142400752"/>
      <w:bookmarkStart w:id="474" w:name="_Toc142400851"/>
      <w:bookmarkStart w:id="475" w:name="_Toc142400949"/>
      <w:bookmarkStart w:id="476" w:name="_Toc142401059"/>
      <w:bookmarkStart w:id="477" w:name="_Toc142401232"/>
      <w:bookmarkStart w:id="478" w:name="_Toc142466576"/>
      <w:bookmarkStart w:id="479" w:name="_Toc142481195"/>
      <w:bookmarkStart w:id="480" w:name="_Toc142482009"/>
      <w:r w:rsidRPr="008A6832">
        <w:t>•</w:t>
      </w:r>
      <w:r>
        <w:tab/>
      </w:r>
      <w:r w:rsidRPr="008A6832">
        <w:rPr>
          <w:b w:val="0"/>
        </w:rPr>
        <w:t>Frequency locations of DL subband(s) are known to the SBFD aware UE</w:t>
      </w:r>
      <w:bookmarkEnd w:id="469"/>
      <w:bookmarkEnd w:id="470"/>
      <w:bookmarkEnd w:id="471"/>
      <w:bookmarkEnd w:id="472"/>
      <w:bookmarkEnd w:id="473"/>
      <w:bookmarkEnd w:id="474"/>
      <w:bookmarkEnd w:id="475"/>
      <w:bookmarkEnd w:id="476"/>
      <w:bookmarkEnd w:id="477"/>
      <w:bookmarkEnd w:id="478"/>
      <w:bookmarkEnd w:id="479"/>
      <w:bookmarkEnd w:id="480"/>
    </w:p>
    <w:p w14:paraId="104B45AA" w14:textId="668B8056" w:rsidR="00553148" w:rsidRDefault="00981528" w:rsidP="00083133">
      <w:pPr>
        <w:pStyle w:val="Proposal"/>
        <w:numPr>
          <w:ilvl w:val="0"/>
          <w:numId w:val="0"/>
        </w:numPr>
        <w:spacing w:before="0" w:after="0"/>
        <w:ind w:left="284"/>
        <w:rPr>
          <w:highlight w:val="yellow"/>
        </w:rPr>
      </w:pPr>
      <w:bookmarkStart w:id="481" w:name="_Toc142397636"/>
      <w:bookmarkStart w:id="482" w:name="_Toc142397734"/>
      <w:bookmarkStart w:id="483" w:name="_Toc142397941"/>
      <w:bookmarkStart w:id="484" w:name="_Toc142399667"/>
      <w:bookmarkStart w:id="485" w:name="_Toc142400753"/>
      <w:bookmarkStart w:id="486" w:name="_Toc142400852"/>
      <w:bookmarkStart w:id="487" w:name="_Toc142400950"/>
      <w:bookmarkStart w:id="488" w:name="_Toc142401060"/>
      <w:bookmarkStart w:id="489" w:name="_Toc142401233"/>
      <w:bookmarkStart w:id="490" w:name="_Toc142466577"/>
      <w:bookmarkStart w:id="491" w:name="_Toc142481196"/>
      <w:bookmarkStart w:id="492" w:name="_Toc142482010"/>
      <w:r w:rsidRPr="008A6832">
        <w:t>•</w:t>
      </w:r>
      <w:r>
        <w:tab/>
      </w:r>
      <w:r w:rsidRPr="008A6832">
        <w:rPr>
          <w:b w:val="0"/>
        </w:rPr>
        <w:t>DL receptions within DL subband(s) are allowed in the symbol</w:t>
      </w:r>
      <w:bookmarkEnd w:id="481"/>
      <w:bookmarkEnd w:id="482"/>
      <w:bookmarkEnd w:id="483"/>
      <w:bookmarkEnd w:id="484"/>
      <w:bookmarkEnd w:id="485"/>
      <w:bookmarkEnd w:id="486"/>
      <w:bookmarkEnd w:id="487"/>
      <w:bookmarkEnd w:id="488"/>
      <w:bookmarkEnd w:id="489"/>
      <w:bookmarkEnd w:id="490"/>
      <w:bookmarkEnd w:id="491"/>
      <w:bookmarkEnd w:id="492"/>
    </w:p>
    <w:p w14:paraId="7F134646" w14:textId="757478CD" w:rsidR="00981528" w:rsidRPr="00B93C63" w:rsidRDefault="00981528" w:rsidP="00F70485">
      <w:pPr>
        <w:pStyle w:val="Proposal"/>
        <w:numPr>
          <w:ilvl w:val="0"/>
          <w:numId w:val="0"/>
        </w:numPr>
        <w:spacing w:before="0" w:after="0"/>
        <w:ind w:left="284"/>
        <w:rPr>
          <w:highlight w:val="yellow"/>
        </w:rPr>
      </w:pPr>
      <w:bookmarkStart w:id="493" w:name="_Toc142397637"/>
      <w:bookmarkStart w:id="494" w:name="_Toc142397735"/>
      <w:bookmarkStart w:id="495" w:name="_Toc142397942"/>
      <w:bookmarkStart w:id="496" w:name="_Toc142399668"/>
      <w:bookmarkStart w:id="497" w:name="_Toc142400754"/>
      <w:bookmarkStart w:id="498" w:name="_Toc142400853"/>
      <w:bookmarkStart w:id="499" w:name="_Toc142400951"/>
      <w:bookmarkStart w:id="500" w:name="_Toc142401061"/>
      <w:bookmarkStart w:id="501" w:name="_Toc142401234"/>
      <w:bookmarkStart w:id="502" w:name="_Toc142466578"/>
      <w:bookmarkStart w:id="503" w:name="_Toc142481197"/>
      <w:bookmarkStart w:id="504" w:name="_Toc142482011"/>
      <w:r w:rsidRPr="00B93C63">
        <w:rPr>
          <w:highlight w:val="yellow"/>
        </w:rPr>
        <w:t>The symbol can be converted to a DL-only sym</w:t>
      </w:r>
      <w:r w:rsidRPr="00B93C63">
        <w:rPr>
          <w:b w:val="0"/>
          <w:highlight w:val="yellow"/>
        </w:rPr>
        <w:t>bol</w:t>
      </w:r>
      <w:r>
        <w:rPr>
          <w:b w:val="0"/>
          <w:highlight w:val="yellow"/>
        </w:rPr>
        <w:t xml:space="preserve"> or UL-only symbol</w:t>
      </w:r>
      <w:bookmarkEnd w:id="493"/>
      <w:bookmarkEnd w:id="494"/>
      <w:bookmarkEnd w:id="495"/>
      <w:bookmarkEnd w:id="496"/>
      <w:bookmarkEnd w:id="497"/>
      <w:bookmarkEnd w:id="498"/>
      <w:bookmarkEnd w:id="499"/>
      <w:bookmarkEnd w:id="500"/>
      <w:bookmarkEnd w:id="501"/>
      <w:bookmarkEnd w:id="502"/>
      <w:bookmarkEnd w:id="503"/>
      <w:bookmarkEnd w:id="504"/>
    </w:p>
    <w:p w14:paraId="476F909D" w14:textId="1A02B952" w:rsidR="00981528" w:rsidRDefault="00981528" w:rsidP="00981528">
      <w:pPr>
        <w:pStyle w:val="00BodyText"/>
        <w:ind w:left="284"/>
        <w:rPr>
          <w:rFonts w:ascii="Times New Roman" w:hAnsi="Times New Roman"/>
          <w:b/>
          <w:bCs/>
        </w:rPr>
      </w:pPr>
    </w:p>
    <w:p w14:paraId="58AFD6BB" w14:textId="4473B271" w:rsidR="00692B61" w:rsidRDefault="00692B61" w:rsidP="00100A08">
      <w:pPr>
        <w:pStyle w:val="Heading4"/>
        <w:rPr>
          <w:lang w:val="en-US"/>
        </w:rPr>
      </w:pPr>
      <w:r w:rsidRPr="11299C83">
        <w:rPr>
          <w:lang w:eastAsia="zh-CN"/>
        </w:rPr>
        <w:t xml:space="preserve">Enhancements to the current frame structure </w:t>
      </w:r>
      <w:r w:rsidR="002542E3" w:rsidRPr="11299C83">
        <w:rPr>
          <w:lang w:eastAsia="zh-CN"/>
        </w:rPr>
        <w:t>signalling</w:t>
      </w:r>
    </w:p>
    <w:p w14:paraId="2E235B8C" w14:textId="77777777" w:rsidR="00592C4C" w:rsidRDefault="002961AB" w:rsidP="002961AB">
      <w:pPr>
        <w:spacing w:after="120"/>
        <w:jc w:val="both"/>
        <w:rPr>
          <w:lang w:val="en-US"/>
        </w:rPr>
      </w:pPr>
      <w:r w:rsidRPr="000B03A5">
        <w:rPr>
          <w:lang w:val="en-US"/>
        </w:rPr>
        <w:t>Next, we discuss the required enhancements to the current frame structure signaling</w:t>
      </w:r>
      <w:r w:rsidR="007E1B11" w:rsidRPr="000B03A5">
        <w:rPr>
          <w:lang w:val="en-US"/>
        </w:rPr>
        <w:t>. First, t</w:t>
      </w:r>
      <w:r w:rsidRPr="000B03A5">
        <w:rPr>
          <w:lang w:val="en-US"/>
        </w:rPr>
        <w:t>he signaling should guarantee b</w:t>
      </w:r>
      <w:r w:rsidRPr="000B03A5">
        <w:rPr>
          <w:lang w:val="en-US" w:eastAsia="zh-CN"/>
        </w:rPr>
        <w:t xml:space="preserve">ackwards compatibility for legacy UEs, considering that the legacy UE may not be able to operate if the broadcast TDD configuration </w:t>
      </w:r>
      <w:proofErr w:type="spellStart"/>
      <w:r w:rsidRPr="000B03A5">
        <w:rPr>
          <w:i/>
          <w:iCs/>
          <w:lang w:val="en-US" w:eastAsia="zh-CN"/>
        </w:rPr>
        <w:t>tdd</w:t>
      </w:r>
      <w:proofErr w:type="spellEnd"/>
      <w:r w:rsidRPr="000B03A5">
        <w:rPr>
          <w:i/>
          <w:iCs/>
          <w:lang w:val="en-US" w:eastAsia="zh-CN"/>
        </w:rPr>
        <w:t>-UL-DL-</w:t>
      </w:r>
      <w:proofErr w:type="spellStart"/>
      <w:r w:rsidRPr="000B03A5">
        <w:rPr>
          <w:i/>
          <w:iCs/>
          <w:lang w:val="en-US" w:eastAsia="zh-CN"/>
        </w:rPr>
        <w:t>ConfigurationCommon</w:t>
      </w:r>
      <w:proofErr w:type="spellEnd"/>
      <w:r w:rsidRPr="000B03A5">
        <w:rPr>
          <w:lang w:val="en-US" w:eastAsia="zh-CN"/>
        </w:rPr>
        <w:t xml:space="preserve"> included flexible symbols.</w:t>
      </w:r>
      <w:r w:rsidR="00385F43" w:rsidRPr="000B03A5">
        <w:rPr>
          <w:lang w:val="en-US"/>
        </w:rPr>
        <w:t xml:space="preserve"> </w:t>
      </w:r>
      <w:r w:rsidRPr="000B03A5">
        <w:rPr>
          <w:lang w:val="en-US"/>
        </w:rPr>
        <w:t xml:space="preserve">To ensure legacy UE operation, the legacy time domain TDD UL/DL pattern </w:t>
      </w:r>
      <w:proofErr w:type="gramStart"/>
      <w:r w:rsidRPr="000B03A5">
        <w:rPr>
          <w:lang w:val="en-US"/>
        </w:rPr>
        <w:t>e.g.</w:t>
      </w:r>
      <w:proofErr w:type="gramEnd"/>
      <w:r w:rsidRPr="000B03A5">
        <w:rPr>
          <w:lang w:val="en-US"/>
        </w:rPr>
        <w:t xml:space="preserve"> DDDSU can be indicated by the </w:t>
      </w:r>
      <w:proofErr w:type="spellStart"/>
      <w:r w:rsidRPr="000B03A5">
        <w:rPr>
          <w:lang w:val="en-US"/>
        </w:rPr>
        <w:t>gNB</w:t>
      </w:r>
      <w:proofErr w:type="spellEnd"/>
      <w:r w:rsidRPr="000B03A5">
        <w:rPr>
          <w:lang w:val="en-US"/>
        </w:rPr>
        <w:t xml:space="preserve"> via </w:t>
      </w:r>
      <w:proofErr w:type="spellStart"/>
      <w:r w:rsidRPr="000B03A5">
        <w:rPr>
          <w:i/>
          <w:iCs/>
          <w:lang w:val="en-US" w:eastAsia="zh-CN"/>
        </w:rPr>
        <w:t>tdd</w:t>
      </w:r>
      <w:proofErr w:type="spellEnd"/>
      <w:r w:rsidRPr="000B03A5">
        <w:rPr>
          <w:i/>
          <w:iCs/>
          <w:lang w:val="en-US" w:eastAsia="zh-CN"/>
        </w:rPr>
        <w:t>-UL-DL-</w:t>
      </w:r>
      <w:proofErr w:type="spellStart"/>
      <w:r w:rsidRPr="000B03A5">
        <w:rPr>
          <w:i/>
          <w:iCs/>
          <w:lang w:val="en-US" w:eastAsia="zh-CN"/>
        </w:rPr>
        <w:t>ConfigurationCommon</w:t>
      </w:r>
      <w:proofErr w:type="spellEnd"/>
      <w:r w:rsidRPr="000B03A5">
        <w:rPr>
          <w:lang w:val="en-US"/>
        </w:rPr>
        <w:t>.</w:t>
      </w:r>
      <w:r w:rsidR="00702401" w:rsidRPr="000B03A5">
        <w:rPr>
          <w:lang w:val="en-US"/>
        </w:rPr>
        <w:t xml:space="preserve"> </w:t>
      </w:r>
      <w:r w:rsidR="00385F43" w:rsidRPr="000B03A5">
        <w:rPr>
          <w:lang w:val="en-US"/>
        </w:rPr>
        <w:t>F</w:t>
      </w:r>
      <w:r w:rsidRPr="000B03A5">
        <w:rPr>
          <w:lang w:val="en-US"/>
        </w:rPr>
        <w:t xml:space="preserve">or SBFD aware UEs, the gNB </w:t>
      </w:r>
      <w:r w:rsidR="00385F43" w:rsidRPr="000B03A5">
        <w:rPr>
          <w:lang w:val="en-US"/>
        </w:rPr>
        <w:t xml:space="preserve">shall </w:t>
      </w:r>
      <w:r w:rsidRPr="000B03A5">
        <w:rPr>
          <w:lang w:val="en-US"/>
        </w:rPr>
        <w:t xml:space="preserve">indicate </w:t>
      </w:r>
      <w:r w:rsidR="007E1B11" w:rsidRPr="000B03A5">
        <w:rPr>
          <w:lang w:val="en-US"/>
        </w:rPr>
        <w:t xml:space="preserve">the frequency and time location of the UL subband </w:t>
      </w:r>
      <w:r w:rsidRPr="000B03A5">
        <w:rPr>
          <w:lang w:val="en-US"/>
        </w:rPr>
        <w:t xml:space="preserve">via </w:t>
      </w:r>
      <w:r w:rsidR="007E1B11" w:rsidRPr="000B03A5">
        <w:rPr>
          <w:lang w:val="en-US"/>
        </w:rPr>
        <w:t xml:space="preserve">either </w:t>
      </w:r>
      <w:r w:rsidRPr="000B03A5">
        <w:rPr>
          <w:lang w:val="en-US"/>
        </w:rPr>
        <w:t xml:space="preserve">SIB </w:t>
      </w:r>
      <w:r w:rsidR="007E1B11" w:rsidRPr="000B03A5">
        <w:rPr>
          <w:lang w:val="en-US"/>
        </w:rPr>
        <w:t xml:space="preserve">or </w:t>
      </w:r>
      <w:r w:rsidR="00D05FF7" w:rsidRPr="000B03A5">
        <w:rPr>
          <w:lang w:val="en-US"/>
        </w:rPr>
        <w:t xml:space="preserve">using dedicated </w:t>
      </w:r>
      <w:r w:rsidRPr="000B03A5">
        <w:rPr>
          <w:lang w:val="en-US"/>
        </w:rPr>
        <w:t>RRC configuration</w:t>
      </w:r>
      <w:r w:rsidR="002518AE" w:rsidRPr="000B03A5">
        <w:rPr>
          <w:lang w:val="en-US"/>
        </w:rPr>
        <w:t xml:space="preserve">. </w:t>
      </w:r>
    </w:p>
    <w:p w14:paraId="66CFD6E0" w14:textId="51CEFC9B" w:rsidR="002518AE" w:rsidRPr="000B03A5" w:rsidRDefault="002518AE" w:rsidP="002961AB">
      <w:pPr>
        <w:spacing w:after="120"/>
        <w:jc w:val="both"/>
        <w:rPr>
          <w:lang w:val="en-US"/>
        </w:rPr>
      </w:pPr>
      <w:r w:rsidRPr="000B03A5">
        <w:rPr>
          <w:lang w:val="en-US"/>
        </w:rPr>
        <w:t xml:space="preserve">As the configuration of </w:t>
      </w:r>
      <w:r w:rsidR="008D4751" w:rsidRPr="000B03A5">
        <w:rPr>
          <w:lang w:val="en-US"/>
        </w:rPr>
        <w:t xml:space="preserve">the </w:t>
      </w:r>
      <w:r w:rsidRPr="000B03A5">
        <w:rPr>
          <w:lang w:val="en-US"/>
        </w:rPr>
        <w:t>UL subband is cell specific,</w:t>
      </w:r>
      <w:r w:rsidR="00592C4C">
        <w:rPr>
          <w:lang w:val="en-US"/>
        </w:rPr>
        <w:t xml:space="preserve"> and as we support initial access in SBFD symbols</w:t>
      </w:r>
      <w:r w:rsidR="008C53E4">
        <w:rPr>
          <w:lang w:val="en-US"/>
        </w:rPr>
        <w:t xml:space="preserve"> (Section</w:t>
      </w:r>
      <w:r w:rsidR="005A66E9">
        <w:rPr>
          <w:lang w:val="en-US"/>
        </w:rPr>
        <w:t xml:space="preserve"> 2.2.2</w:t>
      </w:r>
      <w:proofErr w:type="gramStart"/>
      <w:r w:rsidR="008C53E4">
        <w:rPr>
          <w:lang w:val="en-US"/>
        </w:rPr>
        <w:t>)</w:t>
      </w:r>
      <w:r w:rsidR="00237255">
        <w:rPr>
          <w:lang w:val="en-US"/>
        </w:rPr>
        <w:t xml:space="preserve">, </w:t>
      </w:r>
      <w:r w:rsidRPr="000B03A5">
        <w:rPr>
          <w:lang w:val="en-US"/>
        </w:rPr>
        <w:t xml:space="preserve"> </w:t>
      </w:r>
      <w:r w:rsidR="008D4751" w:rsidRPr="000B03A5">
        <w:rPr>
          <w:lang w:val="en-US"/>
        </w:rPr>
        <w:t>we</w:t>
      </w:r>
      <w:proofErr w:type="gramEnd"/>
      <w:r w:rsidR="008D4751" w:rsidRPr="000B03A5">
        <w:rPr>
          <w:lang w:val="en-US"/>
        </w:rPr>
        <w:t xml:space="preserve"> </w:t>
      </w:r>
      <w:r w:rsidR="006F3A20" w:rsidRPr="000B03A5">
        <w:rPr>
          <w:lang w:val="en-US"/>
        </w:rPr>
        <w:t xml:space="preserve">think that signaling the frequency and time location of the UL subband </w:t>
      </w:r>
      <w:r w:rsidR="008D4751" w:rsidRPr="000B03A5">
        <w:rPr>
          <w:lang w:val="en-US"/>
        </w:rPr>
        <w:t xml:space="preserve">via SIB </w:t>
      </w:r>
      <w:r w:rsidR="002225E7" w:rsidRPr="000B03A5">
        <w:rPr>
          <w:lang w:val="en-US"/>
        </w:rPr>
        <w:t xml:space="preserve">should be assumed as baseline. </w:t>
      </w:r>
      <w:r w:rsidR="008C53E4">
        <w:rPr>
          <w:lang w:val="en-US"/>
        </w:rPr>
        <w:t>Therefore, s</w:t>
      </w:r>
      <w:r w:rsidR="002225E7" w:rsidRPr="000B03A5">
        <w:rPr>
          <w:lang w:val="en-US"/>
        </w:rPr>
        <w:t xml:space="preserve">ignaling via dedicated RRC can </w:t>
      </w:r>
      <w:r w:rsidR="009F089F" w:rsidRPr="000B03A5">
        <w:rPr>
          <w:lang w:val="en-US"/>
        </w:rPr>
        <w:t>be considered as an additional (not alternative) option</w:t>
      </w:r>
    </w:p>
    <w:p w14:paraId="38171A12" w14:textId="4FD0FABD" w:rsidR="002518AE" w:rsidRDefault="0083567A">
      <w:pPr>
        <w:pStyle w:val="Proposal"/>
      </w:pPr>
      <w:bookmarkStart w:id="505" w:name="_Toc142481198"/>
      <w:bookmarkStart w:id="506" w:name="_Toc142482012"/>
      <w:bookmarkStart w:id="507" w:name="_Toc142394797"/>
      <w:bookmarkStart w:id="508" w:name="_Toc142394889"/>
      <w:bookmarkStart w:id="509" w:name="_Toc142397638"/>
      <w:bookmarkStart w:id="510" w:name="_Toc142397736"/>
      <w:bookmarkStart w:id="511" w:name="_Toc142397943"/>
      <w:bookmarkStart w:id="512" w:name="_Toc142399669"/>
      <w:bookmarkStart w:id="513" w:name="_Toc142400755"/>
      <w:bookmarkStart w:id="514" w:name="_Toc142400854"/>
      <w:bookmarkStart w:id="515" w:name="_Toc142400952"/>
      <w:bookmarkStart w:id="516" w:name="_Toc142401062"/>
      <w:bookmarkStart w:id="517" w:name="_Toc142401235"/>
      <w:bookmarkStart w:id="518" w:name="_Toc142466579"/>
      <w:r w:rsidRPr="0083567A">
        <w:t>Signaling of the frequency and time location of the UL subband via SIB is assumed as baseline. Signaling via dedicated RRC can be considered as an additional (not alternative) option.</w:t>
      </w:r>
      <w:bookmarkEnd w:id="505"/>
      <w:bookmarkEnd w:id="506"/>
      <w:r w:rsidRPr="0083567A">
        <w:t xml:space="preserve"> </w:t>
      </w:r>
      <w:bookmarkEnd w:id="507"/>
      <w:bookmarkEnd w:id="508"/>
      <w:bookmarkEnd w:id="509"/>
      <w:bookmarkEnd w:id="510"/>
      <w:bookmarkEnd w:id="511"/>
      <w:bookmarkEnd w:id="512"/>
      <w:bookmarkEnd w:id="513"/>
      <w:bookmarkEnd w:id="514"/>
      <w:bookmarkEnd w:id="515"/>
      <w:bookmarkEnd w:id="516"/>
      <w:bookmarkEnd w:id="517"/>
      <w:bookmarkEnd w:id="518"/>
    </w:p>
    <w:p w14:paraId="21FDA764" w14:textId="39FC4398" w:rsidR="004A7186" w:rsidRPr="00ED3884" w:rsidRDefault="00F43B82" w:rsidP="004A7186">
      <w:pPr>
        <w:spacing w:after="120"/>
        <w:jc w:val="both"/>
        <w:rPr>
          <w:lang w:val="en-US"/>
        </w:rPr>
      </w:pPr>
      <w:r w:rsidRPr="00ED3884">
        <w:rPr>
          <w:lang w:val="en-US"/>
        </w:rPr>
        <w:t xml:space="preserve">When </w:t>
      </w:r>
      <w:r w:rsidR="009914BE" w:rsidRPr="00ED3884">
        <w:rPr>
          <w:lang w:val="en-US"/>
        </w:rPr>
        <w:t>configuring the UL subband, the gNB indicate</w:t>
      </w:r>
      <w:r w:rsidR="000B03A5" w:rsidRPr="00ED3884">
        <w:rPr>
          <w:lang w:val="en-US"/>
        </w:rPr>
        <w:t>s</w:t>
      </w:r>
      <w:r w:rsidR="009914BE" w:rsidRPr="00ED3884">
        <w:rPr>
          <w:lang w:val="en-US"/>
        </w:rPr>
        <w:t xml:space="preserve"> </w:t>
      </w:r>
      <w:r w:rsidR="000B03A5" w:rsidRPr="00ED3884">
        <w:rPr>
          <w:lang w:val="en-US"/>
        </w:rPr>
        <w:t xml:space="preserve">a set </w:t>
      </w:r>
      <w:r w:rsidR="004A7186" w:rsidRPr="00ED3884">
        <w:rPr>
          <w:lang w:val="en-US"/>
        </w:rPr>
        <w:t>of UL resources</w:t>
      </w:r>
      <w:r w:rsidRPr="00ED3884">
        <w:rPr>
          <w:lang w:val="en-US"/>
        </w:rPr>
        <w:t xml:space="preserve"> </w:t>
      </w:r>
      <w:r w:rsidR="004A7186" w:rsidRPr="00ED3884">
        <w:rPr>
          <w:lang w:val="en-US"/>
        </w:rPr>
        <w:t>(</w:t>
      </w:r>
      <w:r w:rsidR="009914BE" w:rsidRPr="00ED3884">
        <w:rPr>
          <w:lang w:val="en-US"/>
        </w:rPr>
        <w:t>time and frequency</w:t>
      </w:r>
      <w:r w:rsidR="000B03A5" w:rsidRPr="00ED3884">
        <w:rPr>
          <w:lang w:val="en-US"/>
        </w:rPr>
        <w:t xml:space="preserve"> domain</w:t>
      </w:r>
      <w:r w:rsidR="004A7186" w:rsidRPr="00ED3884">
        <w:rPr>
          <w:lang w:val="en-US"/>
        </w:rPr>
        <w:t xml:space="preserve">) that converts a set of DL </w:t>
      </w:r>
      <w:r w:rsidR="008B08A6">
        <w:rPr>
          <w:lang w:val="en-US"/>
        </w:rPr>
        <w:t>or flexible</w:t>
      </w:r>
      <w:r w:rsidR="004A7186" w:rsidRPr="00ED3884">
        <w:rPr>
          <w:lang w:val="en-US"/>
        </w:rPr>
        <w:t xml:space="preserve"> symbols </w:t>
      </w:r>
      <w:r w:rsidR="009914BE" w:rsidRPr="00ED3884">
        <w:rPr>
          <w:lang w:val="en-US"/>
        </w:rPr>
        <w:t xml:space="preserve">in </w:t>
      </w:r>
      <w:proofErr w:type="spellStart"/>
      <w:r w:rsidR="009914BE" w:rsidRPr="00ED3884">
        <w:rPr>
          <w:i/>
          <w:iCs/>
          <w:lang w:val="en-US" w:eastAsia="zh-CN"/>
        </w:rPr>
        <w:t>tdd</w:t>
      </w:r>
      <w:proofErr w:type="spellEnd"/>
      <w:r w:rsidR="009914BE" w:rsidRPr="00ED3884">
        <w:rPr>
          <w:i/>
          <w:iCs/>
          <w:lang w:val="en-US" w:eastAsia="zh-CN"/>
        </w:rPr>
        <w:t>-UL-DL-</w:t>
      </w:r>
      <w:proofErr w:type="spellStart"/>
      <w:r w:rsidR="009914BE" w:rsidRPr="00ED3884">
        <w:rPr>
          <w:i/>
          <w:iCs/>
          <w:lang w:val="en-US" w:eastAsia="zh-CN"/>
        </w:rPr>
        <w:t>ConfigurationCommon</w:t>
      </w:r>
      <w:proofErr w:type="spellEnd"/>
      <w:r w:rsidR="009914BE" w:rsidRPr="00ED3884">
        <w:rPr>
          <w:lang w:val="en-US" w:eastAsia="zh-CN"/>
        </w:rPr>
        <w:t xml:space="preserve"> </w:t>
      </w:r>
      <w:r w:rsidR="0024624C" w:rsidRPr="00ED3884">
        <w:rPr>
          <w:lang w:val="en-US" w:eastAsia="zh-CN"/>
        </w:rPr>
        <w:t xml:space="preserve">in SBFD symbols by </w:t>
      </w:r>
      <w:r w:rsidR="0024624C" w:rsidRPr="00ED3884">
        <w:rPr>
          <w:lang w:val="en-US"/>
        </w:rPr>
        <w:t xml:space="preserve">including </w:t>
      </w:r>
      <w:r w:rsidR="004A7186" w:rsidRPr="00ED3884">
        <w:rPr>
          <w:lang w:val="en-US"/>
        </w:rPr>
        <w:t xml:space="preserve">a set of resource elements </w:t>
      </w:r>
      <w:r w:rsidR="0024624C" w:rsidRPr="00ED3884">
        <w:rPr>
          <w:lang w:val="en-US"/>
        </w:rPr>
        <w:t xml:space="preserve">(REs, PRBs, etc.) </w:t>
      </w:r>
      <w:r w:rsidR="004A7186" w:rsidRPr="00ED3884">
        <w:rPr>
          <w:lang w:val="en-US"/>
        </w:rPr>
        <w:t xml:space="preserve">that can be used for UL transmission, i.e. </w:t>
      </w:r>
      <w:r w:rsidR="0024624C" w:rsidRPr="00ED3884">
        <w:rPr>
          <w:lang w:val="en-US"/>
        </w:rPr>
        <w:t xml:space="preserve">it </w:t>
      </w:r>
      <w:r w:rsidR="004A7186" w:rsidRPr="00ED3884">
        <w:rPr>
          <w:lang w:val="en-US"/>
        </w:rPr>
        <w:t xml:space="preserve">creates a SBFD UL subband on DL (and flexible) symbols within the carrier/BWP. There are different options how this could be achieved, e.g.: </w:t>
      </w:r>
    </w:p>
    <w:p w14:paraId="6AC8A8DB" w14:textId="5F8B0F95" w:rsidR="00C53E69" w:rsidRDefault="004A7186">
      <w:pPr>
        <w:pStyle w:val="ListParagraph"/>
        <w:numPr>
          <w:ilvl w:val="0"/>
          <w:numId w:val="21"/>
        </w:numPr>
        <w:shd w:val="clear" w:color="auto" w:fill="FFFFFF" w:themeFill="background1"/>
        <w:spacing w:after="120"/>
        <w:ind w:left="714" w:hanging="357"/>
        <w:jc w:val="both"/>
        <w:rPr>
          <w:sz w:val="20"/>
          <w:szCs w:val="20"/>
          <w:lang w:val="en-US"/>
        </w:rPr>
      </w:pPr>
      <w:r w:rsidRPr="00ED3884">
        <w:rPr>
          <w:sz w:val="20"/>
          <w:szCs w:val="20"/>
          <w:lang w:val="en-US"/>
        </w:rPr>
        <w:t>a RE/symbol square consisting of two [symbol, PRB] tuples indicating respectively the starting and ending point (in both time and frequency domain) of the UL subband</w:t>
      </w:r>
      <w:r w:rsidR="007C246F">
        <w:rPr>
          <w:sz w:val="20"/>
          <w:szCs w:val="20"/>
          <w:lang w:val="en-US"/>
        </w:rPr>
        <w:t xml:space="preserve">. </w:t>
      </w:r>
    </w:p>
    <w:p w14:paraId="154A2F62" w14:textId="393B4872" w:rsidR="00D35BBB" w:rsidRPr="00C53E69" w:rsidRDefault="00D35BBB">
      <w:pPr>
        <w:pStyle w:val="ListParagraph"/>
        <w:numPr>
          <w:ilvl w:val="0"/>
          <w:numId w:val="21"/>
        </w:numPr>
        <w:shd w:val="clear" w:color="auto" w:fill="FFFFFF" w:themeFill="background1"/>
        <w:spacing w:after="120"/>
        <w:ind w:left="714" w:hanging="357"/>
        <w:jc w:val="both"/>
        <w:rPr>
          <w:sz w:val="20"/>
          <w:szCs w:val="20"/>
          <w:lang w:val="en-US"/>
        </w:rPr>
      </w:pPr>
      <w:r w:rsidRPr="00C53E69">
        <w:rPr>
          <w:sz w:val="20"/>
          <w:szCs w:val="20"/>
          <w:lang w:val="en-US"/>
        </w:rPr>
        <w:t xml:space="preserve">a starting PRB and a starting symbol, together with </w:t>
      </w:r>
      <w:proofErr w:type="gramStart"/>
      <w:r w:rsidRPr="00C53E69">
        <w:rPr>
          <w:sz w:val="20"/>
          <w:szCs w:val="20"/>
          <w:lang w:val="en-US"/>
        </w:rPr>
        <w:t>a number of</w:t>
      </w:r>
      <w:proofErr w:type="gramEnd"/>
      <w:r w:rsidRPr="00C53E69">
        <w:rPr>
          <w:sz w:val="20"/>
          <w:szCs w:val="20"/>
          <w:lang w:val="en-US"/>
        </w:rPr>
        <w:t xml:space="preserve"> PRBs in frequency domain, and a number of symbols in time domain</w:t>
      </w:r>
    </w:p>
    <w:p w14:paraId="1B0B5FE7" w14:textId="2577DDF5" w:rsidR="004A7186" w:rsidRDefault="005957B3">
      <w:pPr>
        <w:pStyle w:val="ListParagraph"/>
        <w:numPr>
          <w:ilvl w:val="1"/>
          <w:numId w:val="21"/>
        </w:numPr>
        <w:shd w:val="clear" w:color="auto" w:fill="FFFFFF" w:themeFill="background1"/>
        <w:spacing w:after="120"/>
        <w:ind w:left="1094" w:hanging="357"/>
        <w:jc w:val="both"/>
        <w:rPr>
          <w:sz w:val="20"/>
          <w:szCs w:val="20"/>
          <w:lang w:val="en-US"/>
        </w:rPr>
      </w:pPr>
      <w:r>
        <w:rPr>
          <w:sz w:val="20"/>
          <w:szCs w:val="20"/>
          <w:lang w:val="en-US"/>
        </w:rPr>
        <w:t>t</w:t>
      </w:r>
      <w:r w:rsidR="007C246F" w:rsidRPr="00ED3884">
        <w:rPr>
          <w:sz w:val="20"/>
          <w:szCs w:val="20"/>
          <w:lang w:val="en-US"/>
        </w:rPr>
        <w:t xml:space="preserve">he frequency/time square can be indicated in a similar way the PUSCH resource allocation is provided; a Resource Indicator Value (RIV) provides jointly a starting PRB and a number of PRBs within the active BWP or within the common RB (CRB) grid, and a corresponding Start and Length Indicator Value (SLIV) indicates the subband configuration in time </w:t>
      </w:r>
      <w:proofErr w:type="gramStart"/>
      <w:r w:rsidR="007C246F" w:rsidRPr="00ED3884">
        <w:rPr>
          <w:sz w:val="20"/>
          <w:szCs w:val="20"/>
          <w:lang w:val="en-US"/>
        </w:rPr>
        <w:t>domain</w:t>
      </w:r>
      <w:proofErr w:type="gramEnd"/>
    </w:p>
    <w:p w14:paraId="16482E43" w14:textId="5860EC99" w:rsidR="00237255" w:rsidRPr="00ED3884" w:rsidRDefault="00696C90">
      <w:pPr>
        <w:pStyle w:val="ListParagraph"/>
        <w:numPr>
          <w:ilvl w:val="0"/>
          <w:numId w:val="21"/>
        </w:numPr>
        <w:shd w:val="clear" w:color="auto" w:fill="FFFFFF" w:themeFill="background1"/>
        <w:spacing w:after="120"/>
        <w:ind w:left="714" w:hanging="357"/>
        <w:jc w:val="both"/>
        <w:rPr>
          <w:sz w:val="20"/>
          <w:szCs w:val="20"/>
          <w:lang w:val="en-US"/>
        </w:rPr>
      </w:pPr>
      <w:r>
        <w:rPr>
          <w:sz w:val="20"/>
          <w:szCs w:val="20"/>
          <w:lang w:val="en-US"/>
        </w:rPr>
        <w:t xml:space="preserve">a starting symbol and </w:t>
      </w:r>
      <w:r w:rsidR="0021368F">
        <w:rPr>
          <w:sz w:val="20"/>
          <w:szCs w:val="20"/>
          <w:lang w:val="en-US"/>
        </w:rPr>
        <w:t>a</w:t>
      </w:r>
      <w:r w:rsidR="00EC6B6B">
        <w:rPr>
          <w:sz w:val="20"/>
          <w:szCs w:val="20"/>
          <w:lang w:val="en-US"/>
        </w:rPr>
        <w:t xml:space="preserve"> frequency</w:t>
      </w:r>
      <w:r w:rsidR="0021368F">
        <w:rPr>
          <w:sz w:val="20"/>
          <w:szCs w:val="20"/>
          <w:lang w:val="en-US"/>
        </w:rPr>
        <w:t xml:space="preserve"> offset relative to </w:t>
      </w:r>
      <w:r w:rsidR="0002771A">
        <w:rPr>
          <w:sz w:val="20"/>
          <w:szCs w:val="20"/>
          <w:lang w:val="en-US"/>
        </w:rPr>
        <w:t xml:space="preserve">the </w:t>
      </w:r>
      <w:r w:rsidR="00941265">
        <w:rPr>
          <w:sz w:val="20"/>
          <w:szCs w:val="20"/>
          <w:lang w:val="en-US"/>
        </w:rPr>
        <w:t>frequency</w:t>
      </w:r>
      <w:r w:rsidR="00344821">
        <w:rPr>
          <w:sz w:val="20"/>
          <w:szCs w:val="20"/>
          <w:lang w:val="en-US"/>
        </w:rPr>
        <w:t xml:space="preserve"> allocated to CORESET0</w:t>
      </w:r>
      <w:r w:rsidR="0093340C">
        <w:rPr>
          <w:sz w:val="20"/>
          <w:szCs w:val="20"/>
          <w:lang w:val="en-US"/>
        </w:rPr>
        <w:t xml:space="preserve">, </w:t>
      </w:r>
      <w:r>
        <w:rPr>
          <w:sz w:val="20"/>
          <w:szCs w:val="20"/>
          <w:lang w:val="en-US"/>
        </w:rPr>
        <w:t xml:space="preserve">and </w:t>
      </w:r>
      <w:proofErr w:type="gramStart"/>
      <w:r>
        <w:rPr>
          <w:sz w:val="20"/>
          <w:szCs w:val="20"/>
          <w:lang w:val="en-US"/>
        </w:rPr>
        <w:t>a number of</w:t>
      </w:r>
      <w:proofErr w:type="gramEnd"/>
      <w:r>
        <w:rPr>
          <w:sz w:val="20"/>
          <w:szCs w:val="20"/>
          <w:lang w:val="en-US"/>
        </w:rPr>
        <w:t xml:space="preserve"> PRBs in frequency domain and number of symbols in time domain</w:t>
      </w:r>
      <w:r w:rsidR="00E64404">
        <w:rPr>
          <w:sz w:val="20"/>
          <w:szCs w:val="20"/>
          <w:lang w:val="en-US"/>
        </w:rPr>
        <w:t>.</w:t>
      </w:r>
      <w:r w:rsidR="008839B6">
        <w:rPr>
          <w:sz w:val="20"/>
          <w:szCs w:val="20"/>
          <w:lang w:val="en-US"/>
        </w:rPr>
        <w:t xml:space="preserve"> The frequency offset can be negative or positive </w:t>
      </w:r>
      <w:r w:rsidR="006E1D9D">
        <w:rPr>
          <w:sz w:val="20"/>
          <w:szCs w:val="20"/>
          <w:lang w:val="en-US"/>
        </w:rPr>
        <w:t>relative to CORESET0.</w:t>
      </w:r>
      <w:r w:rsidR="00E64404">
        <w:rPr>
          <w:sz w:val="20"/>
          <w:szCs w:val="20"/>
          <w:lang w:val="en-US"/>
        </w:rPr>
        <w:t xml:space="preserve"> </w:t>
      </w:r>
    </w:p>
    <w:p w14:paraId="071F0E1E" w14:textId="2A447374" w:rsidR="003C74B9" w:rsidRPr="004D76C6" w:rsidRDefault="00EF7EB4" w:rsidP="004D76C6">
      <w:pPr>
        <w:shd w:val="clear" w:color="auto" w:fill="FFFFFF" w:themeFill="background1"/>
        <w:spacing w:after="120"/>
        <w:jc w:val="both"/>
        <w:rPr>
          <w:rFonts w:eastAsia="Times New Roman"/>
          <w:color w:val="000000" w:themeColor="text1"/>
        </w:rPr>
      </w:pPr>
      <w:r>
        <w:rPr>
          <w:rFonts w:eastAsia="Times New Roman"/>
          <w:color w:val="000000" w:themeColor="text1"/>
        </w:rPr>
        <w:t xml:space="preserve">In </w:t>
      </w:r>
      <w:r w:rsidR="007E6DD0">
        <w:rPr>
          <w:rFonts w:eastAsia="Times New Roman"/>
          <w:color w:val="000000" w:themeColor="text1"/>
        </w:rPr>
        <w:t>RAN1 #111</w:t>
      </w:r>
      <w:r>
        <w:rPr>
          <w:rFonts w:eastAsia="Times New Roman"/>
          <w:color w:val="000000" w:themeColor="text1"/>
        </w:rPr>
        <w:t xml:space="preserve"> meeting, it has been agreed that for the purpose of </w:t>
      </w:r>
      <w:r w:rsidR="004A22B2">
        <w:rPr>
          <w:rFonts w:eastAsia="Times New Roman"/>
          <w:color w:val="000000" w:themeColor="text1"/>
        </w:rPr>
        <w:t>this</w:t>
      </w:r>
      <w:r>
        <w:rPr>
          <w:rFonts w:eastAsia="Times New Roman"/>
          <w:color w:val="000000" w:themeColor="text1"/>
        </w:rPr>
        <w:t xml:space="preserve"> study, the understanding </w:t>
      </w:r>
      <w:r w:rsidR="00114A50">
        <w:rPr>
          <w:rFonts w:eastAsia="Times New Roman"/>
          <w:color w:val="000000" w:themeColor="text1"/>
        </w:rPr>
        <w:t xml:space="preserve">is that for semi-static configuration of subband frequency location, </w:t>
      </w:r>
      <w:r w:rsidR="004A22B2">
        <w:rPr>
          <w:rFonts w:eastAsia="Times New Roman"/>
          <w:color w:val="000000" w:themeColor="text1"/>
        </w:rPr>
        <w:t xml:space="preserve">the </w:t>
      </w:r>
      <w:r w:rsidR="00114A50">
        <w:rPr>
          <w:rFonts w:eastAsia="Times New Roman"/>
          <w:color w:val="000000" w:themeColor="text1"/>
        </w:rPr>
        <w:t>frequency location of DL or UL subband is with reference to the common resource block (CRB)</w:t>
      </w:r>
      <w:r w:rsidR="00BF1C16">
        <w:rPr>
          <w:rFonts w:eastAsia="Times New Roman"/>
          <w:color w:val="000000" w:themeColor="text1"/>
        </w:rPr>
        <w:t xml:space="preserve"> grid. </w:t>
      </w:r>
      <w:r w:rsidR="00E66726">
        <w:rPr>
          <w:rFonts w:eastAsia="Times New Roman"/>
          <w:color w:val="000000" w:themeColor="text1"/>
        </w:rPr>
        <w:t xml:space="preserve">This alternative allows the configuration of the </w:t>
      </w:r>
      <w:r w:rsidR="00E724F0">
        <w:rPr>
          <w:rFonts w:eastAsia="Times New Roman"/>
          <w:color w:val="000000" w:themeColor="text1"/>
        </w:rPr>
        <w:t xml:space="preserve">UL/DL </w:t>
      </w:r>
      <w:r w:rsidR="00E66726">
        <w:rPr>
          <w:rFonts w:eastAsia="Times New Roman"/>
          <w:color w:val="000000" w:themeColor="text1"/>
        </w:rPr>
        <w:t>subband</w:t>
      </w:r>
      <w:r w:rsidR="00E724F0">
        <w:rPr>
          <w:rFonts w:eastAsia="Times New Roman"/>
          <w:color w:val="000000" w:themeColor="text1"/>
        </w:rPr>
        <w:t>s</w:t>
      </w:r>
      <w:r w:rsidR="00E66726">
        <w:rPr>
          <w:rFonts w:eastAsia="Times New Roman"/>
          <w:color w:val="000000" w:themeColor="text1"/>
        </w:rPr>
        <w:t xml:space="preserve"> in any part of the </w:t>
      </w:r>
      <w:r w:rsidR="00742F79">
        <w:rPr>
          <w:rFonts w:eastAsia="Times New Roman"/>
          <w:color w:val="000000" w:themeColor="text1"/>
        </w:rPr>
        <w:t>BWP</w:t>
      </w:r>
      <w:r w:rsidR="007470C8">
        <w:rPr>
          <w:rFonts w:eastAsia="Times New Roman"/>
          <w:color w:val="000000" w:themeColor="text1"/>
        </w:rPr>
        <w:t>, i.e., it allows for a large configurable range</w:t>
      </w:r>
      <w:r w:rsidR="00742F79">
        <w:rPr>
          <w:rFonts w:eastAsia="Times New Roman"/>
          <w:color w:val="000000" w:themeColor="text1"/>
        </w:rPr>
        <w:t>.</w:t>
      </w:r>
      <w:r w:rsidR="001359A9">
        <w:rPr>
          <w:rFonts w:eastAsia="Times New Roman"/>
          <w:color w:val="000000" w:themeColor="text1"/>
        </w:rPr>
        <w:t xml:space="preserve"> </w:t>
      </w:r>
      <w:r w:rsidR="00CB125C">
        <w:rPr>
          <w:rFonts w:eastAsia="Times New Roman"/>
          <w:color w:val="000000" w:themeColor="text1"/>
        </w:rPr>
        <w:t>However, i</w:t>
      </w:r>
      <w:r w:rsidR="001359A9">
        <w:rPr>
          <w:rFonts w:eastAsia="Times New Roman"/>
          <w:color w:val="000000" w:themeColor="text1"/>
        </w:rPr>
        <w:t xml:space="preserve">n our view, </w:t>
      </w:r>
      <w:r w:rsidR="0003666F">
        <w:rPr>
          <w:rFonts w:eastAsia="Times New Roman"/>
          <w:color w:val="000000" w:themeColor="text1"/>
        </w:rPr>
        <w:t xml:space="preserve">not all PRBs are suitable for the configuration of UL subbands, such as the </w:t>
      </w:r>
      <w:r w:rsidR="007D640D">
        <w:rPr>
          <w:rFonts w:eastAsia="Times New Roman"/>
          <w:color w:val="000000" w:themeColor="text1"/>
        </w:rPr>
        <w:t xml:space="preserve">frequencies used for the </w:t>
      </w:r>
      <w:r w:rsidR="00BB429F">
        <w:rPr>
          <w:rFonts w:eastAsia="Times New Roman"/>
          <w:color w:val="000000" w:themeColor="text1"/>
        </w:rPr>
        <w:t>allocation</w:t>
      </w:r>
      <w:r w:rsidR="007D640D">
        <w:rPr>
          <w:rFonts w:eastAsia="Times New Roman"/>
          <w:color w:val="000000" w:themeColor="text1"/>
        </w:rPr>
        <w:t xml:space="preserve"> of </w:t>
      </w:r>
      <w:r w:rsidR="00BB429F">
        <w:rPr>
          <w:rFonts w:eastAsia="Times New Roman"/>
          <w:color w:val="000000" w:themeColor="text1"/>
        </w:rPr>
        <w:t>the SSB or the CORESET0</w:t>
      </w:r>
      <w:r w:rsidR="00BC1942">
        <w:rPr>
          <w:rFonts w:eastAsia="Times New Roman"/>
          <w:color w:val="000000" w:themeColor="text1"/>
        </w:rPr>
        <w:t xml:space="preserve"> (</w:t>
      </w:r>
      <w:r w:rsidR="00724D8D">
        <w:rPr>
          <w:rFonts w:eastAsia="Times New Roman"/>
          <w:color w:val="000000" w:themeColor="text1"/>
        </w:rPr>
        <w:t>if allowed in SBFD symbols</w:t>
      </w:r>
      <w:r w:rsidR="00BC1942">
        <w:rPr>
          <w:rFonts w:eastAsia="Times New Roman"/>
          <w:color w:val="000000" w:themeColor="text1"/>
        </w:rPr>
        <w:t>)</w:t>
      </w:r>
      <w:r w:rsidR="00C25B17">
        <w:rPr>
          <w:rFonts w:eastAsia="Times New Roman"/>
          <w:color w:val="000000" w:themeColor="text1"/>
        </w:rPr>
        <w:t xml:space="preserve"> and</w:t>
      </w:r>
      <w:r w:rsidR="00724D8D">
        <w:rPr>
          <w:rFonts w:eastAsia="Times New Roman"/>
          <w:color w:val="000000" w:themeColor="text1"/>
        </w:rPr>
        <w:t xml:space="preserve"> shouldn’t be considered </w:t>
      </w:r>
      <w:r w:rsidR="000047FD">
        <w:rPr>
          <w:rFonts w:eastAsia="Times New Roman"/>
          <w:color w:val="000000" w:themeColor="text1"/>
        </w:rPr>
        <w:t>for the allocation of the UL subband.</w:t>
      </w:r>
      <w:r w:rsidR="00C25B17">
        <w:rPr>
          <w:rFonts w:eastAsia="Times New Roman"/>
          <w:color w:val="000000" w:themeColor="text1"/>
        </w:rPr>
        <w:t xml:space="preserve"> </w:t>
      </w:r>
      <w:r w:rsidR="00C15B15">
        <w:rPr>
          <w:rFonts w:eastAsia="Times New Roman"/>
          <w:color w:val="000000" w:themeColor="text1"/>
        </w:rPr>
        <w:t xml:space="preserve">This is the situation illustrated in </w:t>
      </w:r>
      <w:r w:rsidR="00AA48B1">
        <w:rPr>
          <w:rFonts w:eastAsia="Times New Roman"/>
          <w:color w:val="000000" w:themeColor="text1"/>
        </w:rPr>
        <w:fldChar w:fldCharType="begin"/>
      </w:r>
      <w:r w:rsidR="00AA48B1">
        <w:rPr>
          <w:rFonts w:eastAsia="Times New Roman"/>
          <w:color w:val="000000" w:themeColor="text1"/>
        </w:rPr>
        <w:instrText xml:space="preserve"> REF _Ref135037267 </w:instrText>
      </w:r>
      <w:r w:rsidR="00AA48B1">
        <w:rPr>
          <w:rFonts w:eastAsia="Times New Roman"/>
          <w:color w:val="000000" w:themeColor="text1"/>
        </w:rPr>
        <w:fldChar w:fldCharType="separate"/>
      </w:r>
      <w:r w:rsidR="00C974C2">
        <w:t xml:space="preserve">Figure </w:t>
      </w:r>
      <w:r w:rsidR="00AA48B1">
        <w:rPr>
          <w:rFonts w:eastAsia="Times New Roman"/>
          <w:color w:val="000000" w:themeColor="text1"/>
        </w:rPr>
        <w:fldChar w:fldCharType="end"/>
      </w:r>
      <w:r w:rsidR="00AA48B1">
        <w:rPr>
          <w:rFonts w:eastAsia="Times New Roman"/>
          <w:color w:val="000000" w:themeColor="text1"/>
        </w:rPr>
        <w:t xml:space="preserve"> </w:t>
      </w:r>
      <w:r w:rsidR="00C15B15">
        <w:rPr>
          <w:rFonts w:eastAsia="Times New Roman"/>
          <w:color w:val="000000" w:themeColor="text1"/>
        </w:rPr>
        <w:t xml:space="preserve">below, </w:t>
      </w:r>
      <w:r w:rsidR="00896394">
        <w:rPr>
          <w:rFonts w:eastAsia="Times New Roman"/>
          <w:color w:val="000000" w:themeColor="text1"/>
        </w:rPr>
        <w:t>in which SSBs are sent in the lower DL subband</w:t>
      </w:r>
      <w:r w:rsidR="00896394" w:rsidRPr="1565E40E">
        <w:rPr>
          <w:rFonts w:eastAsia="Times New Roman"/>
          <w:color w:val="000000" w:themeColor="text1"/>
        </w:rPr>
        <w:t>.</w:t>
      </w:r>
      <w:r w:rsidR="00206C3B">
        <w:rPr>
          <w:rFonts w:eastAsia="Times New Roman"/>
          <w:color w:val="000000" w:themeColor="text1"/>
        </w:rPr>
        <w:t xml:space="preserve"> </w:t>
      </w:r>
      <w:r w:rsidR="003C74B9" w:rsidRPr="5229FB6A">
        <w:rPr>
          <w:rFonts w:eastAsia="Times New Roman"/>
          <w:color w:val="000000" w:themeColor="text1"/>
        </w:rPr>
        <w:t>Therefore</w:t>
      </w:r>
      <w:r w:rsidR="003C74B9" w:rsidRPr="5229FB6A">
        <w:rPr>
          <w:rFonts w:eastAsia="Times New Roman"/>
          <w:lang w:val="en-US"/>
        </w:rPr>
        <w:t xml:space="preserve">, using the CRB </w:t>
      </w:r>
      <w:r w:rsidR="00067D47">
        <w:rPr>
          <w:rFonts w:eastAsia="Times New Roman"/>
          <w:lang w:val="en-US"/>
        </w:rPr>
        <w:t>as a</w:t>
      </w:r>
      <w:r w:rsidR="003C74B9" w:rsidRPr="5229FB6A">
        <w:rPr>
          <w:rFonts w:eastAsia="Times New Roman"/>
          <w:lang w:val="en-US"/>
        </w:rPr>
        <w:t xml:space="preserve"> reference </w:t>
      </w:r>
      <w:r w:rsidR="00067D47">
        <w:rPr>
          <w:rFonts w:eastAsia="Times New Roman"/>
          <w:lang w:val="en-US"/>
        </w:rPr>
        <w:t>for the UL subband</w:t>
      </w:r>
      <w:r w:rsidR="003C74B9" w:rsidRPr="5229FB6A">
        <w:rPr>
          <w:rFonts w:eastAsia="Times New Roman"/>
          <w:lang w:val="en-US"/>
        </w:rPr>
        <w:t xml:space="preserve"> </w:t>
      </w:r>
      <w:r w:rsidR="00F070FC">
        <w:rPr>
          <w:rFonts w:eastAsia="Times New Roman"/>
          <w:lang w:val="en-US"/>
        </w:rPr>
        <w:t>could</w:t>
      </w:r>
      <w:r w:rsidR="003C74B9" w:rsidRPr="5229FB6A">
        <w:rPr>
          <w:rFonts w:eastAsia="Times New Roman"/>
          <w:lang w:val="en-US"/>
        </w:rPr>
        <w:t xml:space="preserve"> cause waste in the number of indicated bit resources</w:t>
      </w:r>
      <w:r w:rsidR="003C74B9" w:rsidRPr="4E07815A">
        <w:rPr>
          <w:rFonts w:eastAsia="Times New Roman"/>
          <w:lang w:val="en-US"/>
        </w:rPr>
        <w:t xml:space="preserve"> </w:t>
      </w:r>
      <w:r w:rsidR="003C74B9" w:rsidRPr="4E07815A">
        <w:rPr>
          <w:rFonts w:eastAsia="Times New Roman"/>
        </w:rPr>
        <w:t>compare</w:t>
      </w:r>
      <w:r w:rsidR="002F352D">
        <w:rPr>
          <w:rFonts w:eastAsia="Times New Roman"/>
        </w:rPr>
        <w:t>d</w:t>
      </w:r>
      <w:r w:rsidR="003C74B9" w:rsidRPr="4E07815A">
        <w:rPr>
          <w:rFonts w:eastAsia="Times New Roman"/>
        </w:rPr>
        <w:t xml:space="preserve"> to using </w:t>
      </w:r>
      <w:r w:rsidR="00586104">
        <w:rPr>
          <w:rFonts w:eastAsia="Times New Roman"/>
        </w:rPr>
        <w:t xml:space="preserve">a different reference, such as the </w:t>
      </w:r>
      <w:r w:rsidR="0025126A">
        <w:rPr>
          <w:rFonts w:eastAsia="Times New Roman"/>
        </w:rPr>
        <w:t>PRBs used for the transmission of</w:t>
      </w:r>
      <w:r w:rsidR="00586104">
        <w:rPr>
          <w:rFonts w:eastAsia="Times New Roman"/>
        </w:rPr>
        <w:t xml:space="preserve"> </w:t>
      </w:r>
      <w:r w:rsidR="003C74B9" w:rsidRPr="4E07815A">
        <w:rPr>
          <w:rFonts w:eastAsia="Times New Roman"/>
        </w:rPr>
        <w:t xml:space="preserve">SSB or </w:t>
      </w:r>
      <w:r w:rsidR="00586104">
        <w:rPr>
          <w:rFonts w:eastAsia="Times New Roman"/>
        </w:rPr>
        <w:t>CORESET0</w:t>
      </w:r>
      <w:r w:rsidR="006C0EDE">
        <w:rPr>
          <w:rFonts w:eastAsia="Times New Roman"/>
        </w:rPr>
        <w:t>,</w:t>
      </w:r>
      <w:r w:rsidR="001374FB">
        <w:rPr>
          <w:rFonts w:eastAsia="Times New Roman"/>
        </w:rPr>
        <w:t xml:space="preserve"> and an offset to configure the UL subband</w:t>
      </w:r>
      <w:r w:rsidR="00586104">
        <w:rPr>
          <w:rFonts w:eastAsia="Times New Roman"/>
        </w:rPr>
        <w:t>.</w:t>
      </w:r>
    </w:p>
    <w:p w14:paraId="72FA003E" w14:textId="06D6954F" w:rsidR="4636F67A" w:rsidRDefault="003A45E4">
      <w:pPr>
        <w:pStyle w:val="Observation"/>
      </w:pPr>
      <w:bookmarkStart w:id="519" w:name="_Toc142394798"/>
      <w:bookmarkStart w:id="520" w:name="_Toc142394890"/>
      <w:bookmarkStart w:id="521" w:name="_Toc142397639"/>
      <w:bookmarkStart w:id="522" w:name="_Toc142397737"/>
      <w:bookmarkStart w:id="523" w:name="_Toc142397944"/>
      <w:bookmarkStart w:id="524" w:name="_Toc142399670"/>
      <w:bookmarkStart w:id="525" w:name="_Toc142400756"/>
      <w:bookmarkStart w:id="526" w:name="_Toc142400855"/>
      <w:bookmarkStart w:id="527" w:name="_Toc142400953"/>
      <w:bookmarkStart w:id="528" w:name="_Toc142401063"/>
      <w:bookmarkStart w:id="529" w:name="_Toc142401236"/>
      <w:bookmarkStart w:id="530" w:name="_Toc142466580"/>
      <w:bookmarkStart w:id="531" w:name="_Toc142481199"/>
      <w:bookmarkStart w:id="532" w:name="_Toc142482013"/>
      <w:r>
        <w:t xml:space="preserve">Not all </w:t>
      </w:r>
      <w:r w:rsidR="00041ECC">
        <w:t>PRBs are</w:t>
      </w:r>
      <w:r>
        <w:t xml:space="preserve"> </w:t>
      </w:r>
      <w:r w:rsidR="00587A81">
        <w:t>suitable for the configuration of the UL subband, for example, those configured for SSB or CORESET0 tran</w:t>
      </w:r>
      <w:r w:rsidR="00045B33">
        <w:t>smission</w:t>
      </w:r>
      <w:r w:rsidR="00581F6F">
        <w:t xml:space="preserve"> (if allowed in SBFD symbols).</w:t>
      </w:r>
      <w:r w:rsidR="00E22ECA">
        <w:t xml:space="preserve"> Using the frequency allocated to the transmission of the SSB </w:t>
      </w:r>
      <w:r w:rsidR="001F2674">
        <w:t>or CORESET0</w:t>
      </w:r>
      <w:r w:rsidR="00580E28">
        <w:t xml:space="preserve"> as reference</w:t>
      </w:r>
      <w:r w:rsidR="004866CF">
        <w:t>,</w:t>
      </w:r>
      <w:r w:rsidR="000116EE">
        <w:t xml:space="preserve"> and</w:t>
      </w:r>
      <w:r w:rsidR="005B3493">
        <w:t xml:space="preserve"> an offset for the configuration of the UL subband</w:t>
      </w:r>
      <w:r w:rsidR="009355C9">
        <w:t>,</w:t>
      </w:r>
      <w:r w:rsidR="001F2674">
        <w:t xml:space="preserve"> can reduce the configurable range and number of bits used to indicate the UL subband to the UE.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rsidR="4636F67A" w:rsidRPr="5229FB6A">
        <w:t xml:space="preserve"> </w:t>
      </w:r>
    </w:p>
    <w:p w14:paraId="3348B9F2" w14:textId="5A06AD25" w:rsidR="4636F67A" w:rsidRDefault="4636F67A" w:rsidP="00111260">
      <w:pPr>
        <w:jc w:val="center"/>
      </w:pPr>
      <w:r>
        <w:rPr>
          <w:noProof/>
        </w:rPr>
        <w:drawing>
          <wp:inline distT="0" distB="0" distL="0" distR="0" wp14:anchorId="6F5A3E10" wp14:editId="2B179294">
            <wp:extent cx="4572000" cy="1704975"/>
            <wp:effectExtent l="0" t="0" r="0" b="0"/>
            <wp:docPr id="564600767" name="Picture 56460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704975"/>
                    </a:xfrm>
                    <a:prstGeom prst="rect">
                      <a:avLst/>
                    </a:prstGeom>
                  </pic:spPr>
                </pic:pic>
              </a:graphicData>
            </a:graphic>
          </wp:inline>
        </w:drawing>
      </w:r>
    </w:p>
    <w:p w14:paraId="44E107EB" w14:textId="1F0E017C" w:rsidR="4636F67A" w:rsidRDefault="4636F67A" w:rsidP="00F80BB6">
      <w:pPr>
        <w:pStyle w:val="Caption"/>
        <w:jc w:val="center"/>
        <w:rPr>
          <w:rFonts w:ascii="Arial" w:eastAsia="Arial" w:hAnsi="Arial" w:cs="Arial"/>
          <w:sz w:val="18"/>
          <w:szCs w:val="18"/>
        </w:rPr>
      </w:pPr>
      <w:bookmarkStart w:id="533" w:name="_Ref135037267"/>
      <w:bookmarkStart w:id="534" w:name="_Ref135037262"/>
      <w:r>
        <w:t xml:space="preserve">Figure </w:t>
      </w:r>
      <w:r w:rsidR="00F80BB6">
        <w:rPr>
          <w:b w:val="0"/>
        </w:rPr>
        <w:fldChar w:fldCharType="begin"/>
      </w:r>
      <w:r w:rsidR="00F80BB6">
        <w:instrText xml:space="preserve"> SEQ Figure \* ARABIC </w:instrText>
      </w:r>
      <w:r w:rsidR="006D080B">
        <w:rPr>
          <w:b w:val="0"/>
        </w:rPr>
        <w:fldChar w:fldCharType="separate"/>
      </w:r>
      <w:r w:rsidR="00F80BB6">
        <w:rPr>
          <w:b w:val="0"/>
        </w:rPr>
        <w:fldChar w:fldCharType="end"/>
      </w:r>
      <w:bookmarkEnd w:id="533"/>
      <w:r w:rsidRPr="5229FB6A">
        <w:rPr>
          <w:rFonts w:ascii="Arial" w:eastAsia="Arial" w:hAnsi="Arial" w:cs="Arial"/>
          <w:sz w:val="18"/>
          <w:szCs w:val="18"/>
        </w:rPr>
        <w:t xml:space="preserve">: SSB configuration in DL </w:t>
      </w:r>
      <w:proofErr w:type="spellStart"/>
      <w:r w:rsidRPr="5229FB6A">
        <w:rPr>
          <w:rFonts w:ascii="Arial" w:eastAsia="Arial" w:hAnsi="Arial" w:cs="Arial"/>
          <w:sz w:val="18"/>
          <w:szCs w:val="18"/>
        </w:rPr>
        <w:t>subband</w:t>
      </w:r>
      <w:proofErr w:type="spellEnd"/>
      <w:r w:rsidRPr="5229FB6A">
        <w:rPr>
          <w:rFonts w:ascii="Arial" w:eastAsia="Arial" w:hAnsi="Arial" w:cs="Arial"/>
          <w:sz w:val="18"/>
          <w:szCs w:val="18"/>
        </w:rPr>
        <w:t xml:space="preserve"> of SBFD symbol.</w:t>
      </w:r>
      <w:bookmarkEnd w:id="534"/>
    </w:p>
    <w:p w14:paraId="40FB8193" w14:textId="4B97DA1F" w:rsidR="004314C0" w:rsidRPr="00100A08" w:rsidRDefault="004314C0" w:rsidP="00100A08"/>
    <w:p w14:paraId="4193FB29" w14:textId="7C8621EC" w:rsidR="0068537E" w:rsidRPr="00100A08" w:rsidRDefault="00C53E69">
      <w:pPr>
        <w:pStyle w:val="Proposal"/>
        <w:rPr>
          <w:rFonts w:ascii="Arial" w:eastAsia="Arial" w:hAnsi="Arial" w:cs="Arial"/>
          <w:sz w:val="32"/>
          <w:szCs w:val="32"/>
        </w:rPr>
      </w:pPr>
      <w:r>
        <w:t xml:space="preserve"> </w:t>
      </w:r>
      <w:bookmarkStart w:id="535" w:name="_Toc142394799"/>
      <w:bookmarkStart w:id="536" w:name="_Toc142394891"/>
      <w:bookmarkStart w:id="537" w:name="_Toc142397640"/>
      <w:bookmarkStart w:id="538" w:name="_Toc142397738"/>
      <w:bookmarkStart w:id="539" w:name="_Toc142397945"/>
      <w:bookmarkStart w:id="540" w:name="_Toc142399671"/>
      <w:bookmarkStart w:id="541" w:name="_Toc142400757"/>
      <w:bookmarkStart w:id="542" w:name="_Toc142400856"/>
      <w:bookmarkStart w:id="543" w:name="_Toc142400954"/>
      <w:bookmarkStart w:id="544" w:name="_Toc142401064"/>
      <w:bookmarkStart w:id="545" w:name="_Toc142401237"/>
      <w:bookmarkStart w:id="546" w:name="_Toc142466581"/>
      <w:bookmarkStart w:id="547" w:name="_Toc142481200"/>
      <w:bookmarkStart w:id="548" w:name="_Toc142482014"/>
      <w:r w:rsidR="0054360A">
        <w:t xml:space="preserve">The </w:t>
      </w:r>
      <w:r w:rsidR="000D3608">
        <w:t xml:space="preserve">frequency </w:t>
      </w:r>
      <w:r w:rsidR="000D3608" w:rsidRPr="004314C0">
        <w:t>allocated</w:t>
      </w:r>
      <w:r w:rsidR="000D3608">
        <w:t xml:space="preserve"> to SSB or CORESET0</w:t>
      </w:r>
      <w:r w:rsidR="00B324FE">
        <w:t xml:space="preserve"> is used as reference for the configuration of the UL subband.</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00B324FE">
        <w:t xml:space="preserve"> </w:t>
      </w:r>
    </w:p>
    <w:p w14:paraId="15966F07" w14:textId="16E4588A" w:rsidR="0012234F" w:rsidRPr="0038580A" w:rsidRDefault="009C48D4" w:rsidP="005F69B8">
      <w:pPr>
        <w:pStyle w:val="B1"/>
        <w:ind w:left="284"/>
        <w:rPr>
          <w:rFonts w:eastAsia="Malgun Gothic"/>
          <w:u w:val="single"/>
          <w:lang w:eastAsia="zh-CN"/>
        </w:rPr>
      </w:pPr>
      <w:bookmarkStart w:id="549" w:name="_Toc142394800"/>
      <w:bookmarkStart w:id="550" w:name="_Toc142394892"/>
      <w:r w:rsidRPr="005F69B8">
        <w:rPr>
          <w:b/>
          <w:bCs/>
          <w:u w:val="single"/>
        </w:rPr>
        <w:t>SBFD operation in SSB symbols</w:t>
      </w:r>
      <w:bookmarkEnd w:id="549"/>
      <w:bookmarkEnd w:id="550"/>
      <w:r w:rsidR="007D4A19" w:rsidRPr="005F69B8">
        <w:rPr>
          <w:rFonts w:eastAsia="Malgun Gothic"/>
          <w:b/>
          <w:bCs/>
          <w:u w:val="single"/>
          <w:lang w:eastAsia="zh-CN"/>
        </w:rPr>
        <w:t xml:space="preserve"> </w:t>
      </w:r>
      <w:bookmarkStart w:id="551" w:name="_Toc142394801"/>
      <w:bookmarkStart w:id="552" w:name="_Toc142394893"/>
    </w:p>
    <w:p w14:paraId="642B2333" w14:textId="016EE010" w:rsidR="00260D7F" w:rsidRDefault="007D4A19" w:rsidP="005F69B8">
      <w:pPr>
        <w:pStyle w:val="B1"/>
        <w:ind w:left="284"/>
        <w:rPr>
          <w:rFonts w:eastAsia="Malgun Gothic"/>
          <w:lang w:eastAsia="zh-CN"/>
        </w:rPr>
      </w:pPr>
      <w:r w:rsidRPr="00815068">
        <w:rPr>
          <w:rFonts w:eastAsia="Malgun Gothic"/>
          <w:lang w:eastAsia="zh-CN"/>
        </w:rPr>
        <w:t>RAN1</w:t>
      </w:r>
      <w:r w:rsidR="002E771F">
        <w:rPr>
          <w:rFonts w:eastAsia="Malgun Gothic"/>
          <w:b/>
          <w:lang w:eastAsia="zh-CN"/>
        </w:rPr>
        <w:t xml:space="preserve"> #113 it was</w:t>
      </w:r>
      <w:r w:rsidR="00DB37B9">
        <w:rPr>
          <w:rFonts w:eastAsia="Malgun Gothic"/>
          <w:b/>
          <w:lang w:eastAsia="zh-CN"/>
        </w:rPr>
        <w:t xml:space="preserve"> agreed to </w:t>
      </w:r>
      <w:r w:rsidR="00260D7F">
        <w:rPr>
          <w:rFonts w:eastAsia="Malgun Gothic"/>
          <w:b/>
          <w:lang w:eastAsia="zh-CN"/>
        </w:rPr>
        <w:t xml:space="preserve">allow </w:t>
      </w:r>
      <w:r w:rsidR="002E771F">
        <w:rPr>
          <w:rFonts w:eastAsia="Malgun Gothic"/>
          <w:b/>
          <w:lang w:eastAsia="zh-CN"/>
        </w:rPr>
        <w:t>UL subband configuration in SSB symbols</w:t>
      </w:r>
      <w:r w:rsidR="00260D7F">
        <w:rPr>
          <w:rFonts w:eastAsia="Malgun Gothic"/>
          <w:b/>
          <w:lang w:eastAsia="zh-CN"/>
        </w:rPr>
        <w:t>.</w:t>
      </w:r>
      <w:bookmarkEnd w:id="551"/>
      <w:bookmarkEnd w:id="552"/>
      <w:r w:rsidR="00260D7F">
        <w:rPr>
          <w:rFonts w:eastAsia="Malgun Gothic"/>
          <w:b/>
          <w:lang w:eastAsia="zh-CN"/>
        </w:rPr>
        <w:t xml:space="preserve"> </w:t>
      </w:r>
    </w:p>
    <w:tbl>
      <w:tblPr>
        <w:tblStyle w:val="TableGrid"/>
        <w:tblW w:w="0" w:type="auto"/>
        <w:tblLook w:val="04A0" w:firstRow="1" w:lastRow="0" w:firstColumn="1" w:lastColumn="0" w:noHBand="0" w:noVBand="1"/>
      </w:tblPr>
      <w:tblGrid>
        <w:gridCol w:w="9629"/>
      </w:tblGrid>
      <w:tr w:rsidR="00AD72BD" w14:paraId="34C2FCCA" w14:textId="77777777" w:rsidTr="006B5FD1">
        <w:tc>
          <w:tcPr>
            <w:tcW w:w="9629" w:type="dxa"/>
          </w:tcPr>
          <w:p w14:paraId="12490E61" w14:textId="77777777" w:rsidR="00A645E5" w:rsidRPr="00A645E5" w:rsidRDefault="00A645E5" w:rsidP="005F69B8">
            <w:pPr>
              <w:overflowPunct/>
              <w:autoSpaceDE/>
              <w:autoSpaceDN/>
              <w:adjustRightInd/>
              <w:spacing w:after="0"/>
              <w:textAlignment w:val="auto"/>
              <w:rPr>
                <w:rFonts w:eastAsia="Times New Roman"/>
              </w:rPr>
            </w:pPr>
            <w:r w:rsidRPr="00A645E5">
              <w:rPr>
                <w:rFonts w:eastAsia="Times New Roman"/>
                <w:highlight w:val="green"/>
              </w:rPr>
              <w:t>Agreement</w:t>
            </w:r>
          </w:p>
          <w:p w14:paraId="17B96599" w14:textId="77777777" w:rsidR="00A645E5" w:rsidRPr="00A645E5" w:rsidRDefault="00A645E5" w:rsidP="005F69B8">
            <w:pPr>
              <w:overflowPunct/>
              <w:autoSpaceDE/>
              <w:autoSpaceDN/>
              <w:adjustRightInd/>
              <w:spacing w:after="0"/>
              <w:textAlignment w:val="auto"/>
              <w:rPr>
                <w:rFonts w:eastAsia="Times New Roman"/>
              </w:rPr>
            </w:pPr>
            <w:r w:rsidRPr="00A645E5">
              <w:rPr>
                <w:rFonts w:eastAsia="Times New Roman"/>
              </w:rPr>
              <w:t>An UL subband can be configured in an SSB symbol.</w:t>
            </w:r>
          </w:p>
          <w:p w14:paraId="3E7B6790" w14:textId="77777777" w:rsidR="00A645E5" w:rsidRPr="005F69B8" w:rsidRDefault="00A645E5" w:rsidP="00A645E5">
            <w:pPr>
              <w:numPr>
                <w:ilvl w:val="0"/>
                <w:numId w:val="144"/>
              </w:numPr>
              <w:overflowPunct/>
              <w:autoSpaceDE/>
              <w:autoSpaceDN/>
              <w:adjustRightInd/>
              <w:spacing w:after="0"/>
              <w:textAlignment w:val="center"/>
              <w:rPr>
                <w:rFonts w:eastAsia="Times New Roman"/>
                <w:lang w:val="en-US"/>
              </w:rPr>
            </w:pPr>
            <w:r w:rsidRPr="005F69B8">
              <w:rPr>
                <w:lang w:val="en-US"/>
              </w:rPr>
              <w:t>Note: It is SSB from serving cell perspective, which can be CD-SSB or NCD-SSB.</w:t>
            </w:r>
          </w:p>
          <w:p w14:paraId="1F40D602" w14:textId="77777777" w:rsidR="00A645E5" w:rsidRPr="005F69B8" w:rsidRDefault="00A645E5" w:rsidP="00A645E5">
            <w:pPr>
              <w:numPr>
                <w:ilvl w:val="0"/>
                <w:numId w:val="144"/>
              </w:numPr>
              <w:overflowPunct/>
              <w:autoSpaceDE/>
              <w:autoSpaceDN/>
              <w:adjustRightInd/>
              <w:textAlignment w:val="center"/>
              <w:rPr>
                <w:rFonts w:eastAsia="Times New Roman"/>
                <w:lang w:val="en-US"/>
              </w:rPr>
            </w:pPr>
            <w:r w:rsidRPr="005F69B8">
              <w:rPr>
                <w:lang w:val="en-US"/>
              </w:rPr>
              <w:t>Whether actual UL transmission can be done is for further discussion</w:t>
            </w:r>
          </w:p>
          <w:p w14:paraId="6608947B" w14:textId="77777777" w:rsidR="00A645E5" w:rsidRPr="00A645E5" w:rsidRDefault="00A645E5" w:rsidP="006B5FD1">
            <w:pPr>
              <w:overflowPunct/>
              <w:autoSpaceDE/>
              <w:autoSpaceDN/>
              <w:adjustRightInd/>
              <w:spacing w:after="0"/>
              <w:textAlignment w:val="auto"/>
              <w:rPr>
                <w:rFonts w:eastAsia="Times New Roman"/>
                <w:highlight w:val="green"/>
              </w:rPr>
            </w:pPr>
          </w:p>
          <w:p w14:paraId="2FDDD066" w14:textId="2194D6FE" w:rsidR="006B5FD1" w:rsidRPr="00A645E5" w:rsidRDefault="006B5FD1" w:rsidP="006B5FD1">
            <w:pPr>
              <w:overflowPunct/>
              <w:autoSpaceDE/>
              <w:autoSpaceDN/>
              <w:adjustRightInd/>
              <w:spacing w:after="0"/>
              <w:textAlignment w:val="auto"/>
              <w:rPr>
                <w:rFonts w:eastAsia="Times New Roman"/>
              </w:rPr>
            </w:pPr>
            <w:r w:rsidRPr="00A645E5">
              <w:rPr>
                <w:rFonts w:eastAsia="Times New Roman"/>
                <w:highlight w:val="green"/>
              </w:rPr>
              <w:t>Agreement</w:t>
            </w:r>
          </w:p>
          <w:p w14:paraId="6B909B10" w14:textId="77777777" w:rsidR="006B5FD1" w:rsidRPr="00A645E5" w:rsidRDefault="006B5FD1" w:rsidP="006B5FD1">
            <w:pPr>
              <w:overflowPunct/>
              <w:autoSpaceDE/>
              <w:autoSpaceDN/>
              <w:adjustRightInd/>
              <w:spacing w:after="0"/>
              <w:textAlignment w:val="auto"/>
              <w:rPr>
                <w:rFonts w:eastAsia="Times New Roman"/>
              </w:rPr>
            </w:pPr>
            <w:r w:rsidRPr="00A645E5">
              <w:rPr>
                <w:rFonts w:eastAsia="Times New Roman"/>
                <w:b/>
              </w:rPr>
              <w:t>The following conclusion is to be captured in the TR</w:t>
            </w:r>
          </w:p>
          <w:p w14:paraId="2599B5FE" w14:textId="77777777" w:rsidR="006B5FD1" w:rsidRPr="005F69B8" w:rsidRDefault="006B5FD1" w:rsidP="006B5FD1">
            <w:pPr>
              <w:overflowPunct/>
              <w:autoSpaceDE/>
              <w:autoSpaceDN/>
              <w:adjustRightInd/>
              <w:spacing w:after="0"/>
              <w:textAlignment w:val="auto"/>
              <w:rPr>
                <w:rFonts w:eastAsia="Times New Roman"/>
              </w:rPr>
            </w:pPr>
            <w:r w:rsidRPr="005F69B8">
              <w:rPr>
                <w:rFonts w:eastAsia="Times New Roman"/>
              </w:rPr>
              <w:t>If SBFD-aware UEs are not allowed to transmit in the SSB symbol but is allowed to receive within the DL BWP in the SSB symbol, negative impact on SSB detection and measurement can be avoided but UL performance may be degraded due to fewer UL opportunities.</w:t>
            </w:r>
          </w:p>
          <w:p w14:paraId="27655004" w14:textId="0B1D7D68" w:rsidR="006B5FD1" w:rsidRDefault="006B5FD1" w:rsidP="00C81CC7">
            <w:pPr>
              <w:overflowPunct/>
              <w:autoSpaceDE/>
              <w:autoSpaceDN/>
              <w:adjustRightInd/>
              <w:spacing w:after="0"/>
              <w:textAlignment w:val="auto"/>
              <w:rPr>
                <w:lang w:eastAsia="zh-CN"/>
              </w:rPr>
            </w:pPr>
            <w:r w:rsidRPr="005F69B8">
              <w:rPr>
                <w:rFonts w:eastAsia="Times New Roman"/>
              </w:rPr>
              <w:t>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tc>
      </w:tr>
    </w:tbl>
    <w:p w14:paraId="73E4CA42" w14:textId="77777777" w:rsidR="006B5FD1" w:rsidRDefault="006B5FD1" w:rsidP="006B5FD1">
      <w:pPr>
        <w:pStyle w:val="00BodyText"/>
        <w:rPr>
          <w:lang w:eastAsia="zh-CN"/>
        </w:rPr>
      </w:pPr>
    </w:p>
    <w:p w14:paraId="5416CCA6" w14:textId="2681C658" w:rsidR="008727F9" w:rsidRDefault="00163F6E" w:rsidP="008727F9">
      <w:pPr>
        <w:spacing w:after="120"/>
        <w:jc w:val="both"/>
        <w:rPr>
          <w:lang w:val="en-US"/>
        </w:rPr>
      </w:pPr>
      <w:r>
        <w:rPr>
          <w:lang w:val="en-US"/>
        </w:rPr>
        <w:t>The first agreement</w:t>
      </w:r>
      <w:r w:rsidR="00B1390B">
        <w:rPr>
          <w:lang w:val="en-US"/>
        </w:rPr>
        <w:t xml:space="preserve"> lists the actual UL transmission during SSB symbols as for further discussion. </w:t>
      </w:r>
      <w:r w:rsidR="0034118A" w:rsidRPr="005F69B8">
        <w:rPr>
          <w:lang w:val="en-US"/>
        </w:rPr>
        <w:t xml:space="preserve">As mentioned in our </w:t>
      </w:r>
      <w:proofErr w:type="spellStart"/>
      <w:r w:rsidR="003814FB">
        <w:rPr>
          <w:lang w:val="en-US"/>
        </w:rPr>
        <w:t>TDocs</w:t>
      </w:r>
      <w:proofErr w:type="spellEnd"/>
      <w:r w:rsidR="003814FB">
        <w:rPr>
          <w:lang w:val="en-US"/>
        </w:rPr>
        <w:t xml:space="preserve"> from previous RAN1 meetings, we have concerns with </w:t>
      </w:r>
      <w:r w:rsidR="00EB28A8">
        <w:rPr>
          <w:lang w:val="en-US"/>
        </w:rPr>
        <w:t>UL transmissions during SSB symbol</w:t>
      </w:r>
      <w:r w:rsidR="00B1390B">
        <w:rPr>
          <w:lang w:val="en-US"/>
        </w:rPr>
        <w:t>s</w:t>
      </w:r>
      <w:r w:rsidR="008727F9">
        <w:rPr>
          <w:lang w:val="en-US"/>
        </w:rPr>
        <w:t xml:space="preserve">. SSBs are used for serving cell and neighbor cells measurements by both SBFD aware UEs and legacy UEs. SSBs are broadcast signals </w:t>
      </w:r>
      <w:r w:rsidR="008727F9" w:rsidRPr="00F4638F">
        <w:rPr>
          <w:lang w:val="en-US"/>
        </w:rPr>
        <w:t>periodically transmitted, which</w:t>
      </w:r>
      <w:r w:rsidR="008727F9">
        <w:rPr>
          <w:lang w:val="en-US"/>
        </w:rPr>
        <w:t xml:space="preserve"> can increase the self-interference at the gNB if the UL subband is configured, and UEs are scheduled to transmit in this subband.</w:t>
      </w:r>
    </w:p>
    <w:p w14:paraId="09B5E50F" w14:textId="77777777" w:rsidR="008727F9" w:rsidRPr="00464F9F" w:rsidRDefault="008727F9" w:rsidP="008727F9">
      <w:pPr>
        <w:spacing w:after="120"/>
        <w:jc w:val="both"/>
        <w:rPr>
          <w:lang w:val="en-US"/>
        </w:rPr>
      </w:pPr>
      <w:r>
        <w:rPr>
          <w:lang w:val="en-US"/>
        </w:rPr>
        <w:t xml:space="preserve">In case SBFD symbols overlap with SSB symbols, the potential UL transmissions by aggressor UEs in the UL subband could degrade the SSB based measurements performed by victim UEs (legacy or SBFD aware) in the DL subband due to UE-to-UE inter-subband CLI. Additionally, it is worth mentioning that SSBs can be used by the UE for automatic gain control (AGC). If the UE is subject to CLI while it is measuring SSBs, it can impact its AGC performance. To avoid degradation, in our view, it is important to protect not only the SSB symbols from UE-UE CLI, but also the symbols that are preceding the SSB symbols.  There are currently scheduling restrictions for UL transmissions during SSB symbols to be measured. TS 38.133 (for example, in clause 9.2.5.3) states that the UE is not expected to transmit on: </w:t>
      </w:r>
      <w:r w:rsidRPr="00464F9F">
        <w:rPr>
          <w:lang w:val="en-US"/>
        </w:rPr>
        <w:t>SSB symbols to be measured</w:t>
      </w:r>
      <w:r>
        <w:rPr>
          <w:lang w:val="en-US"/>
        </w:rPr>
        <w:t xml:space="preserve">, 1 data symbol before each consecutive SSB symbol to be measured and 1 data symbol after each consecutive SSB symbol to be measured. </w:t>
      </w:r>
    </w:p>
    <w:p w14:paraId="0EDC022A" w14:textId="3E76CFB2" w:rsidR="001660C5" w:rsidRDefault="001660C5" w:rsidP="00D2029A">
      <w:pPr>
        <w:spacing w:after="120"/>
        <w:jc w:val="both"/>
        <w:rPr>
          <w:lang w:val="en-US"/>
        </w:rPr>
      </w:pPr>
      <w:r>
        <w:rPr>
          <w:lang w:val="en-US"/>
        </w:rPr>
        <w:t xml:space="preserve">In our view, the preferred behavior would be that the UEs are allowed to receive in DL </w:t>
      </w:r>
      <w:r w:rsidR="005D7344">
        <w:rPr>
          <w:lang w:val="en-US"/>
        </w:rPr>
        <w:t xml:space="preserve">within the UL subband, if the UL subband is configured in SSB symbols. </w:t>
      </w:r>
    </w:p>
    <w:p w14:paraId="676A3865" w14:textId="36F937A1" w:rsidR="008727F9" w:rsidRPr="005F69B8" w:rsidRDefault="00722827" w:rsidP="005F69B8">
      <w:pPr>
        <w:pStyle w:val="Proposal"/>
      </w:pPr>
      <w:bookmarkStart w:id="553" w:name="_Toc142394802"/>
      <w:bookmarkStart w:id="554" w:name="_Toc142394894"/>
      <w:bookmarkStart w:id="555" w:name="_Toc142397641"/>
      <w:bookmarkStart w:id="556" w:name="_Toc142397739"/>
      <w:bookmarkStart w:id="557" w:name="_Toc142397946"/>
      <w:bookmarkStart w:id="558" w:name="_Toc142399672"/>
      <w:bookmarkStart w:id="559" w:name="_Toc142400758"/>
      <w:bookmarkStart w:id="560" w:name="_Toc142400857"/>
      <w:bookmarkStart w:id="561" w:name="_Toc142400955"/>
      <w:bookmarkStart w:id="562" w:name="_Toc142401065"/>
      <w:bookmarkStart w:id="563" w:name="_Toc142401238"/>
      <w:bookmarkStart w:id="564" w:name="_Toc142466582"/>
      <w:bookmarkStart w:id="565" w:name="_Toc142481201"/>
      <w:bookmarkStart w:id="566" w:name="_Toc142482015"/>
      <w:r>
        <w:t>UL transmissions during SSB symbols are not allowed.</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19B5832" w14:textId="0FB4BB9A" w:rsidR="006A6BF1" w:rsidRPr="00B67BFC" w:rsidRDefault="00B91D03" w:rsidP="004F0D1B">
      <w:pPr>
        <w:pStyle w:val="Heading4"/>
        <w:rPr>
          <w:lang w:val="en-US"/>
        </w:rPr>
      </w:pPr>
      <w:r w:rsidRPr="11299C83">
        <w:rPr>
          <w:lang w:val="en-US"/>
        </w:rPr>
        <w:t xml:space="preserve">RB-set </w:t>
      </w:r>
      <w:proofErr w:type="gramStart"/>
      <w:r w:rsidRPr="11299C83">
        <w:rPr>
          <w:lang w:val="en-US"/>
        </w:rPr>
        <w:t>based</w:t>
      </w:r>
      <w:proofErr w:type="gramEnd"/>
      <w:r w:rsidRPr="11299C83">
        <w:rPr>
          <w:lang w:val="en-US"/>
        </w:rPr>
        <w:t xml:space="preserve"> and BWP based schemes</w:t>
      </w:r>
    </w:p>
    <w:p w14:paraId="4C4BEE80" w14:textId="49DD2831" w:rsidR="00992B6D" w:rsidRPr="003D4922" w:rsidRDefault="00CD50A1" w:rsidP="00992B6D">
      <w:pPr>
        <w:jc w:val="both"/>
        <w:rPr>
          <w:rFonts w:eastAsiaTheme="minorEastAsia"/>
          <w:lang w:val="en-US" w:eastAsia="zh-CN"/>
        </w:rPr>
      </w:pPr>
      <w:r>
        <w:rPr>
          <w:lang w:val="en-US"/>
        </w:rPr>
        <w:t>Also</w:t>
      </w:r>
      <w:r w:rsidRPr="003D4922">
        <w:rPr>
          <w:lang w:val="en-US"/>
        </w:rPr>
        <w:t xml:space="preserve"> </w:t>
      </w:r>
      <w:r w:rsidR="00EC7EB5" w:rsidRPr="003D4922">
        <w:rPr>
          <w:lang w:val="en-US"/>
        </w:rPr>
        <w:t>related to SBFD configuration</w:t>
      </w:r>
      <w:r w:rsidR="00992B6D" w:rsidRPr="003D4922">
        <w:rPr>
          <w:lang w:val="en-US"/>
        </w:rPr>
        <w:t xml:space="preserve">, two main options have been </w:t>
      </w:r>
      <w:r w:rsidR="00EC7EB5" w:rsidRPr="003D4922">
        <w:rPr>
          <w:lang w:val="en-US"/>
        </w:rPr>
        <w:t>discu</w:t>
      </w:r>
      <w:r w:rsidR="001F6862" w:rsidRPr="003D4922">
        <w:rPr>
          <w:lang w:val="en-US"/>
        </w:rPr>
        <w:t xml:space="preserve">ssed in the last meetings </w:t>
      </w:r>
      <w:r w:rsidR="00992B6D" w:rsidRPr="003D4922">
        <w:rPr>
          <w:lang w:val="en-US"/>
        </w:rPr>
        <w:t xml:space="preserve">for </w:t>
      </w:r>
      <w:r w:rsidR="001F6862" w:rsidRPr="003D4922">
        <w:rPr>
          <w:lang w:val="en-US"/>
        </w:rPr>
        <w:t xml:space="preserve">the </w:t>
      </w:r>
      <w:r w:rsidR="00992B6D" w:rsidRPr="003D4922">
        <w:rPr>
          <w:lang w:val="en-US"/>
        </w:rPr>
        <w:t xml:space="preserve">configuration of the time and frequency location of the UL/DL subbands to SBFD aware UEs: </w:t>
      </w:r>
      <w:r w:rsidR="00992B6D" w:rsidRPr="003D4922">
        <w:rPr>
          <w:rFonts w:eastAsiaTheme="minorEastAsia"/>
          <w:lang w:val="en-US" w:eastAsia="zh-CN"/>
        </w:rPr>
        <w:t xml:space="preserve">RB-set </w:t>
      </w:r>
      <w:proofErr w:type="gramStart"/>
      <w:r w:rsidR="00992B6D" w:rsidRPr="003D4922">
        <w:rPr>
          <w:rFonts w:eastAsiaTheme="minorEastAsia"/>
          <w:lang w:val="en-US" w:eastAsia="zh-CN"/>
        </w:rPr>
        <w:t>based</w:t>
      </w:r>
      <w:proofErr w:type="gramEnd"/>
      <w:r w:rsidR="00992B6D" w:rsidRPr="003D4922">
        <w:rPr>
          <w:rFonts w:eastAsiaTheme="minorEastAsia"/>
          <w:lang w:val="en-US" w:eastAsia="zh-CN"/>
        </w:rPr>
        <w:t xml:space="preserve"> and BWP based schemes.</w:t>
      </w:r>
    </w:p>
    <w:p w14:paraId="18098695" w14:textId="77777777" w:rsidR="00992B6D" w:rsidRPr="003D4922" w:rsidRDefault="00992B6D">
      <w:pPr>
        <w:pStyle w:val="ListParagraph"/>
        <w:numPr>
          <w:ilvl w:val="0"/>
          <w:numId w:val="24"/>
        </w:numPr>
        <w:shd w:val="clear" w:color="auto" w:fill="FFFFFF" w:themeFill="background1"/>
        <w:spacing w:before="120" w:after="120"/>
        <w:ind w:left="714" w:hanging="357"/>
        <w:jc w:val="both"/>
        <w:rPr>
          <w:rFonts w:eastAsiaTheme="minorEastAsia"/>
          <w:sz w:val="20"/>
          <w:szCs w:val="20"/>
          <w:lang w:val="en-US"/>
        </w:rPr>
      </w:pPr>
      <w:r w:rsidRPr="003D4922">
        <w:rPr>
          <w:rFonts w:eastAsiaTheme="minorEastAsia"/>
          <w:sz w:val="20"/>
          <w:szCs w:val="20"/>
          <w:lang w:val="en-US"/>
        </w:rPr>
        <w:t xml:space="preserve">RB-set based: the </w:t>
      </w:r>
      <w:r w:rsidRPr="003D4922">
        <w:rPr>
          <w:sz w:val="20"/>
          <w:szCs w:val="20"/>
          <w:lang w:val="en-US"/>
        </w:rPr>
        <w:t xml:space="preserve">gNB explicitly configures the time and frequency resource set within a carrier. The UE may observe DL and UL resources in a same symbol within a BWP. </w:t>
      </w:r>
    </w:p>
    <w:p w14:paraId="407CD30D" w14:textId="77777777" w:rsidR="00992B6D" w:rsidRPr="003D4922" w:rsidRDefault="00992B6D">
      <w:pPr>
        <w:pStyle w:val="ListParagraph"/>
        <w:numPr>
          <w:ilvl w:val="0"/>
          <w:numId w:val="24"/>
        </w:numPr>
        <w:shd w:val="clear" w:color="auto" w:fill="FFFFFF" w:themeFill="background1"/>
        <w:spacing w:before="120" w:after="120"/>
        <w:ind w:left="714" w:hanging="357"/>
        <w:jc w:val="both"/>
        <w:rPr>
          <w:rFonts w:eastAsiaTheme="minorEastAsia"/>
          <w:sz w:val="20"/>
          <w:szCs w:val="20"/>
          <w:lang w:val="en-US"/>
        </w:rPr>
      </w:pPr>
      <w:r w:rsidRPr="003D4922">
        <w:rPr>
          <w:sz w:val="20"/>
          <w:szCs w:val="20"/>
          <w:lang w:val="en-US"/>
        </w:rPr>
        <w:t>BWP based: This scheme relies on the Rel-15 NR BWP framework to ensure that the UE active UL and DL BWP is always aligned with the UL and/or DL subband within a slot or symbol so that the UE can only observe one direction (either UL or DL) per symbol within a BWP.</w:t>
      </w:r>
    </w:p>
    <w:p w14:paraId="1BEA9B99" w14:textId="52446DB4" w:rsidR="003F756C" w:rsidRPr="003D4922" w:rsidRDefault="00992B6D" w:rsidP="003F756C">
      <w:pPr>
        <w:jc w:val="both"/>
      </w:pPr>
      <w:r w:rsidRPr="003D4922">
        <w:rPr>
          <w:lang w:val="en-US"/>
        </w:rPr>
        <w:t>The RB-set based scheme does not require specific enhancements to the Rel-15 BWP framework. The frequency resources reserved for DL (or UL) can be modified from symbol to symbol and/or from slot to slot. There is no need for the UE to adapt its DL and/or UL BWP to the time-varying frequency resources.</w:t>
      </w:r>
      <w:r w:rsidR="003F756C" w:rsidRPr="003D4922">
        <w:rPr>
          <w:lang w:val="en-US"/>
        </w:rPr>
        <w:t xml:space="preserve"> Essentially</w:t>
      </w:r>
      <w:r w:rsidR="00123F22" w:rsidRPr="003D4922">
        <w:rPr>
          <w:lang w:val="en-US"/>
        </w:rPr>
        <w:t>, the</w:t>
      </w:r>
      <w:r w:rsidR="003F756C" w:rsidRPr="003D4922">
        <w:t xml:space="preserve"> UE</w:t>
      </w:r>
      <w:r w:rsidR="003F756C" w:rsidRPr="003D4922">
        <w:rPr>
          <w:lang w:val="en-US"/>
        </w:rPr>
        <w:t>’</w:t>
      </w:r>
      <w:r w:rsidR="003F756C" w:rsidRPr="003D4922">
        <w:t xml:space="preserve">s active BWP may include PRBs that are used by the serving cell for </w:t>
      </w:r>
      <w:r w:rsidR="004E03AD" w:rsidRPr="003D4922">
        <w:t xml:space="preserve">the </w:t>
      </w:r>
      <w:r w:rsidR="003F756C" w:rsidRPr="003D4922">
        <w:t xml:space="preserve">opposite </w:t>
      </w:r>
      <w:r w:rsidR="004E03AD" w:rsidRPr="003D4922">
        <w:t xml:space="preserve">link </w:t>
      </w:r>
      <w:r w:rsidR="003F756C" w:rsidRPr="003D4922">
        <w:t>direction</w:t>
      </w:r>
      <w:r w:rsidR="004E03AD" w:rsidRPr="003D4922">
        <w:t xml:space="preserve"> (e.g.</w:t>
      </w:r>
      <w:r w:rsidR="00862280" w:rsidRPr="003D4922">
        <w:t xml:space="preserve">, </w:t>
      </w:r>
      <w:r w:rsidR="004E03AD" w:rsidRPr="003D4922">
        <w:t>UL BWP may include PRBs</w:t>
      </w:r>
      <w:r w:rsidR="00862280" w:rsidRPr="003D4922">
        <w:t xml:space="preserve"> where the gNB is transmitting in DL</w:t>
      </w:r>
      <w:r w:rsidR="004E03AD" w:rsidRPr="003D4922">
        <w:t>, and vi</w:t>
      </w:r>
      <w:r w:rsidR="00862280" w:rsidRPr="003D4922">
        <w:t xml:space="preserve">ce versa, DL BWP may include PRBs where the gNB is receiving in UL). </w:t>
      </w:r>
    </w:p>
    <w:p w14:paraId="5990219A" w14:textId="775BAB70" w:rsidR="00992B6D" w:rsidRPr="003D4922" w:rsidRDefault="00992B6D" w:rsidP="003F756C">
      <w:pPr>
        <w:jc w:val="both"/>
        <w:rPr>
          <w:bCs/>
          <w:bdr w:val="none" w:sz="0" w:space="0" w:color="auto" w:frame="1"/>
          <w:lang w:val="en-US"/>
        </w:rPr>
      </w:pPr>
      <w:r w:rsidRPr="003D4922">
        <w:rPr>
          <w:rFonts w:eastAsiaTheme="minorEastAsia"/>
          <w:lang w:val="en-US"/>
        </w:rPr>
        <w:t>With the BWP based scheme</w:t>
      </w:r>
      <w:r w:rsidRPr="003D4922">
        <w:rPr>
          <w:lang w:val="en-US"/>
        </w:rPr>
        <w:t xml:space="preserve">, the cell/carrier can be seen as being divided into multiple subbands, each subband having its own TDD frame structure. The UE can be configured with one or more BWP pairs, each BWP pair overlapping with (or at least contained within) one of the subbands. This scheme </w:t>
      </w:r>
      <w:r w:rsidR="003F756C" w:rsidRPr="003D4922">
        <w:rPr>
          <w:lang w:val="en-US"/>
        </w:rPr>
        <w:t xml:space="preserve">also </w:t>
      </w:r>
      <w:r w:rsidRPr="003D4922">
        <w:rPr>
          <w:lang w:val="en-US"/>
        </w:rPr>
        <w:t>works with UEs supporting single configured DL and UL BWP pair with aligned center frequencies, which is the baseline assumption from RAN1 #110</w:t>
      </w:r>
      <w:r w:rsidR="006A7D1D" w:rsidRPr="003D4922">
        <w:rPr>
          <w:lang w:val="en-US"/>
        </w:rPr>
        <w:t>bis-e</w:t>
      </w:r>
      <w:r w:rsidRPr="003D4922">
        <w:rPr>
          <w:lang w:val="en-US"/>
        </w:rPr>
        <w:t xml:space="preserve"> meeting. We </w:t>
      </w:r>
      <w:r w:rsidR="00872498">
        <w:rPr>
          <w:lang w:val="en-US"/>
        </w:rPr>
        <w:t>think</w:t>
      </w:r>
      <w:r w:rsidRPr="003D4922">
        <w:rPr>
          <w:lang w:val="en-US"/>
        </w:rPr>
        <w:t xml:space="preserve"> this option as the </w:t>
      </w:r>
      <w:r w:rsidR="00036446">
        <w:rPr>
          <w:lang w:val="en-US"/>
        </w:rPr>
        <w:t>basic</w:t>
      </w:r>
      <w:r w:rsidR="00036446" w:rsidRPr="003D4922">
        <w:rPr>
          <w:lang w:val="en-US"/>
        </w:rPr>
        <w:t xml:space="preserve"> </w:t>
      </w:r>
      <w:r w:rsidRPr="003D4922">
        <w:rPr>
          <w:bCs/>
          <w:lang w:val="en-US"/>
        </w:rPr>
        <w:t>BWP based scheme</w:t>
      </w:r>
      <w:r w:rsidRPr="003D4922">
        <w:rPr>
          <w:lang w:val="en-US"/>
        </w:rPr>
        <w:t xml:space="preserve">. The </w:t>
      </w:r>
      <w:r w:rsidR="00036446">
        <w:rPr>
          <w:lang w:val="en-US"/>
        </w:rPr>
        <w:t>basic</w:t>
      </w:r>
      <w:r w:rsidR="00036446" w:rsidRPr="003D4922">
        <w:rPr>
          <w:lang w:val="en-US"/>
        </w:rPr>
        <w:t xml:space="preserve"> </w:t>
      </w:r>
      <w:r w:rsidRPr="003D4922">
        <w:rPr>
          <w:lang w:val="en-US"/>
        </w:rPr>
        <w:t xml:space="preserve">BWP based scheme is schematically illustrated in </w:t>
      </w:r>
      <w:r w:rsidR="00E26FCA">
        <w:rPr>
          <w:b/>
          <w:bCs/>
          <w:i/>
          <w:lang w:val="en-US"/>
        </w:rPr>
        <w:fldChar w:fldCharType="begin"/>
      </w:r>
      <w:r w:rsidR="00E26FCA">
        <w:rPr>
          <w:lang w:val="en-US"/>
        </w:rPr>
        <w:instrText xml:space="preserve"> REF _Ref113434263 \h </w:instrText>
      </w:r>
      <w:r w:rsidR="00E26FCA">
        <w:rPr>
          <w:b/>
          <w:bCs/>
          <w:i/>
          <w:lang w:val="en-US"/>
        </w:rPr>
      </w:r>
      <w:r w:rsidR="00E26FCA">
        <w:rPr>
          <w:b/>
          <w:bCs/>
          <w:i/>
          <w:lang w:val="en-US"/>
        </w:rPr>
        <w:fldChar w:fldCharType="separate"/>
      </w:r>
      <w:r w:rsidR="00C974C2" w:rsidRPr="003D4922">
        <w:rPr>
          <w:b/>
          <w:bCs/>
          <w:i/>
          <w:lang w:val="en-US"/>
        </w:rPr>
        <w:t xml:space="preserve">Figure </w:t>
      </w:r>
      <w:r w:rsidR="00E26FCA">
        <w:rPr>
          <w:b/>
          <w:bCs/>
          <w:i/>
          <w:lang w:val="en-US"/>
        </w:rPr>
        <w:fldChar w:fldCharType="end"/>
      </w:r>
      <w:r w:rsidR="00E26FCA">
        <w:rPr>
          <w:b/>
          <w:bCs/>
          <w:i/>
          <w:lang w:val="en-US"/>
        </w:rPr>
        <w:t>.</w:t>
      </w:r>
    </w:p>
    <w:p w14:paraId="0965FF51" w14:textId="77777777" w:rsidR="00992B6D" w:rsidRPr="003D4922" w:rsidRDefault="00992B6D" w:rsidP="00992B6D">
      <w:pPr>
        <w:jc w:val="center"/>
        <w:rPr>
          <w:lang w:val="en-US" w:eastAsia="zh-CN"/>
        </w:rPr>
      </w:pPr>
      <w:r w:rsidRPr="003D4922">
        <w:rPr>
          <w:noProof/>
          <w:lang w:val="en-US"/>
        </w:rPr>
        <w:drawing>
          <wp:inline distT="0" distB="0" distL="0" distR="0" wp14:anchorId="5089F281" wp14:editId="57291DB9">
            <wp:extent cx="6012180" cy="156908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12180" cy="1569085"/>
                    </a:xfrm>
                    <a:prstGeom prst="rect">
                      <a:avLst/>
                    </a:prstGeom>
                    <a:noFill/>
                    <a:ln>
                      <a:noFill/>
                    </a:ln>
                  </pic:spPr>
                </pic:pic>
              </a:graphicData>
            </a:graphic>
          </wp:inline>
        </w:drawing>
      </w:r>
    </w:p>
    <w:p w14:paraId="29008F42" w14:textId="12CCED23" w:rsidR="00992B6D" w:rsidRPr="003D4922" w:rsidRDefault="00992B6D" w:rsidP="00992B6D">
      <w:pPr>
        <w:pStyle w:val="Caption"/>
        <w:jc w:val="center"/>
        <w:rPr>
          <w:b w:val="0"/>
          <w:bCs/>
          <w:i/>
          <w:lang w:val="en-US" w:eastAsia="zh-CN"/>
        </w:rPr>
      </w:pPr>
      <w:bookmarkStart w:id="567" w:name="_Ref113434263"/>
      <w:bookmarkStart w:id="568" w:name="_Ref134975746"/>
      <w:r w:rsidRPr="003D4922">
        <w:rPr>
          <w:b w:val="0"/>
          <w:bCs/>
          <w:i/>
          <w:lang w:val="en-US"/>
        </w:rPr>
        <w:t xml:space="preserve">Figure </w:t>
      </w:r>
      <w:r w:rsidRPr="003D4922">
        <w:rPr>
          <w:b w:val="0"/>
          <w:bCs/>
          <w:i/>
          <w:lang w:val="en-US"/>
        </w:rPr>
        <w:fldChar w:fldCharType="begin"/>
      </w:r>
      <w:r w:rsidRPr="003D4922">
        <w:rPr>
          <w:i/>
          <w:lang w:val="en-US"/>
        </w:rPr>
        <w:instrText xml:space="preserve"> SEQ Figure \* ARABIC </w:instrText>
      </w:r>
      <w:r w:rsidR="006D080B">
        <w:rPr>
          <w:b w:val="0"/>
          <w:bCs/>
          <w:i/>
          <w:lang w:val="en-US"/>
        </w:rPr>
        <w:fldChar w:fldCharType="separate"/>
      </w:r>
      <w:r w:rsidRPr="003D4922">
        <w:rPr>
          <w:b w:val="0"/>
          <w:bCs/>
          <w:i/>
          <w:lang w:val="en-US"/>
        </w:rPr>
        <w:fldChar w:fldCharType="end"/>
      </w:r>
      <w:bookmarkEnd w:id="567"/>
      <w:r w:rsidRPr="003D4922">
        <w:rPr>
          <w:b w:val="0"/>
          <w:bCs/>
          <w:i/>
          <w:lang w:val="en-US"/>
        </w:rPr>
        <w:t xml:space="preserve"> Baseline BWP based scheme</w:t>
      </w:r>
      <w:bookmarkEnd w:id="568"/>
    </w:p>
    <w:p w14:paraId="15849FBC" w14:textId="04E4CC7B" w:rsidR="00992B6D" w:rsidRPr="003D4922" w:rsidRDefault="00992B6D" w:rsidP="00992B6D">
      <w:pPr>
        <w:spacing w:after="120"/>
        <w:jc w:val="both"/>
        <w:rPr>
          <w:rFonts w:eastAsiaTheme="minorEastAsia"/>
          <w:lang w:val="en-US" w:eastAsia="zh-CN"/>
        </w:rPr>
      </w:pPr>
      <w:r w:rsidRPr="003D4922">
        <w:rPr>
          <w:rFonts w:eastAsiaTheme="minorEastAsia"/>
          <w:lang w:val="en-US" w:eastAsia="zh-CN"/>
        </w:rPr>
        <w:t xml:space="preserve">With the </w:t>
      </w:r>
      <w:r w:rsidR="00036446">
        <w:rPr>
          <w:rFonts w:eastAsiaTheme="minorEastAsia"/>
          <w:lang w:val="en-US" w:eastAsia="zh-CN"/>
        </w:rPr>
        <w:t>basic</w:t>
      </w:r>
      <w:r w:rsidRPr="003D4922">
        <w:rPr>
          <w:rFonts w:eastAsiaTheme="minorEastAsia"/>
          <w:lang w:val="en-US" w:eastAsia="zh-CN"/>
        </w:rPr>
        <w:t xml:space="preserve"> BWP-based scheme, </w:t>
      </w:r>
      <w:r w:rsidRPr="003D4922">
        <w:rPr>
          <w:rFonts w:eastAsiaTheme="minorEastAsia"/>
          <w:lang w:val="en-US"/>
        </w:rPr>
        <w:t xml:space="preserve">a </w:t>
      </w:r>
      <w:r w:rsidRPr="003D4922">
        <w:rPr>
          <w:lang w:val="en-US"/>
        </w:rPr>
        <w:t xml:space="preserve">UE can work properly without new UE behavior to </w:t>
      </w:r>
      <w:proofErr w:type="gramStart"/>
      <w:r w:rsidRPr="003D4922">
        <w:rPr>
          <w:lang w:val="en-US"/>
        </w:rPr>
        <w:t>e.g.</w:t>
      </w:r>
      <w:proofErr w:type="gramEnd"/>
      <w:r w:rsidRPr="003D4922">
        <w:rPr>
          <w:lang w:val="en-US"/>
        </w:rPr>
        <w:t xml:space="preserve"> resolve the collision between UL/DL signal in SBFD symbols. </w:t>
      </w:r>
      <w:r w:rsidRPr="003D4922">
        <w:rPr>
          <w:rFonts w:eastAsiaTheme="minorEastAsia"/>
          <w:lang w:val="en-US" w:eastAsia="zh-CN"/>
        </w:rPr>
        <w:t xml:space="preserve">Also, </w:t>
      </w:r>
      <w:r w:rsidRPr="003D4922">
        <w:rPr>
          <w:lang w:val="en-US"/>
        </w:rPr>
        <w:t xml:space="preserve">adaptation of (semi-statically) allocated resources based on the slot/symbol type is not needed, as the UE can be configured with different set of resources (PUCCH, CG-PUSCH, SS, CORESET, CSI-RS, etc.) per BWP, and can rely on BWP switching or BWP reconfiguration for determining which set resources should be used in a specific slot/symbol. </w:t>
      </w:r>
    </w:p>
    <w:p w14:paraId="1BF0B116" w14:textId="0CDF035A" w:rsidR="00992B6D" w:rsidRPr="003D4922" w:rsidRDefault="00992B6D" w:rsidP="00992B6D">
      <w:pPr>
        <w:spacing w:after="120"/>
        <w:jc w:val="both"/>
        <w:rPr>
          <w:lang w:val="en-US"/>
        </w:rPr>
      </w:pPr>
      <w:r w:rsidRPr="003D4922">
        <w:rPr>
          <w:lang w:val="en-US"/>
        </w:rPr>
        <w:t xml:space="preserve">The main drawbacks of the </w:t>
      </w:r>
      <w:r w:rsidR="00E82826">
        <w:rPr>
          <w:lang w:val="en-US"/>
        </w:rPr>
        <w:t>basic</w:t>
      </w:r>
      <w:r w:rsidR="00E82826" w:rsidRPr="003D4922">
        <w:rPr>
          <w:lang w:val="en-US"/>
        </w:rPr>
        <w:t xml:space="preserve"> </w:t>
      </w:r>
      <w:r w:rsidRPr="003D4922">
        <w:rPr>
          <w:lang w:val="en-US"/>
        </w:rPr>
        <w:t xml:space="preserve">BWP based scheme are the reduced UE bandwidth, which can result in a significant reduction of the available peak data rate in both UL and DL, and the potential increase in signaling overhead, as the cell may need to provide at least one SSB per subband to ensure proper UE operation. </w:t>
      </w:r>
    </w:p>
    <w:p w14:paraId="7BC65EE6" w14:textId="2131E0F2" w:rsidR="00992B6D" w:rsidRPr="003D4922" w:rsidRDefault="00992B6D">
      <w:pPr>
        <w:pStyle w:val="Observation"/>
      </w:pPr>
      <w:r w:rsidRPr="003D4922">
        <w:t xml:space="preserve"> </w:t>
      </w:r>
      <w:bookmarkStart w:id="569" w:name="_Toc142394803"/>
      <w:bookmarkStart w:id="570" w:name="_Toc142394895"/>
      <w:bookmarkStart w:id="571" w:name="_Toc142397642"/>
      <w:bookmarkStart w:id="572" w:name="_Toc142397740"/>
      <w:bookmarkStart w:id="573" w:name="_Toc142397947"/>
      <w:bookmarkStart w:id="574" w:name="_Toc142399673"/>
      <w:bookmarkStart w:id="575" w:name="_Toc142400759"/>
      <w:bookmarkStart w:id="576" w:name="_Toc142400858"/>
      <w:bookmarkStart w:id="577" w:name="_Toc142400956"/>
      <w:bookmarkStart w:id="578" w:name="_Toc142401066"/>
      <w:bookmarkStart w:id="579" w:name="_Toc142401239"/>
      <w:bookmarkStart w:id="580" w:name="_Toc142466583"/>
      <w:bookmarkStart w:id="581" w:name="_Toc142481202"/>
      <w:bookmarkStart w:id="582" w:name="_Toc142482016"/>
      <w:r w:rsidRPr="003D4922">
        <w:t xml:space="preserve">The </w:t>
      </w:r>
      <w:r w:rsidR="00E82826">
        <w:t>basic</w:t>
      </w:r>
      <w:r w:rsidR="00E82826" w:rsidRPr="003D4922">
        <w:t xml:space="preserve"> </w:t>
      </w:r>
      <w:r w:rsidRPr="003D4922">
        <w:t xml:space="preserve">BWP </w:t>
      </w:r>
      <w:r w:rsidR="00DB33BF">
        <w:t xml:space="preserve">based </w:t>
      </w:r>
      <w:r w:rsidRPr="003D4922">
        <w:t>scheme is rather straightforward but has severe UE peak rate and signaling overhead issue.</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4338975" w14:textId="5AB21E85" w:rsidR="00992B6D" w:rsidRPr="003D4922" w:rsidRDefault="00992B6D" w:rsidP="00992B6D">
      <w:pPr>
        <w:spacing w:after="120"/>
        <w:jc w:val="both"/>
        <w:rPr>
          <w:lang w:val="en-US"/>
        </w:rPr>
      </w:pPr>
      <w:r w:rsidRPr="003D4922">
        <w:rPr>
          <w:lang w:val="en-US"/>
        </w:rPr>
        <w:t xml:space="preserve">Some companies have also proposed a BWP based scheme where the UE can (more or less) dynamically adapt its active DL and UL BWP to the portion of the cell </w:t>
      </w:r>
      <w:proofErr w:type="gramStart"/>
      <w:r w:rsidRPr="003D4922">
        <w:rPr>
          <w:lang w:val="en-US"/>
        </w:rPr>
        <w:t>spectrum</w:t>
      </w:r>
      <w:proofErr w:type="gramEnd"/>
      <w:r w:rsidRPr="003D4922">
        <w:rPr>
          <w:lang w:val="en-US"/>
        </w:rPr>
        <w:t xml:space="preserve"> which is allocated for DL transmission and UL reception, respectively, in each slot/symbol. We refer to this option as advanced BWP based scheme (</w:t>
      </w:r>
      <w:r w:rsidR="00201C45">
        <w:rPr>
          <w:lang w:val="en-US"/>
        </w:rPr>
        <w:fldChar w:fldCharType="begin"/>
      </w:r>
      <w:r w:rsidR="00201C45">
        <w:rPr>
          <w:lang w:val="en-US"/>
        </w:rPr>
        <w:instrText xml:space="preserve"> REF _Ref113434569 </w:instrText>
      </w:r>
      <w:r w:rsidR="00201C45">
        <w:rPr>
          <w:lang w:val="en-US"/>
        </w:rPr>
        <w:fldChar w:fldCharType="separate"/>
      </w:r>
      <w:r w:rsidR="00C974C2" w:rsidRPr="003D4922">
        <w:rPr>
          <w:b/>
          <w:bCs/>
          <w:i/>
          <w:lang w:val="en-US"/>
        </w:rPr>
        <w:t xml:space="preserve">Figure </w:t>
      </w:r>
      <w:r w:rsidR="00201C45">
        <w:rPr>
          <w:lang w:val="en-US"/>
        </w:rPr>
        <w:fldChar w:fldCharType="end"/>
      </w:r>
      <w:r w:rsidRPr="003D4922">
        <w:rPr>
          <w:lang w:val="en-US"/>
        </w:rPr>
        <w:t xml:space="preserve">). </w:t>
      </w:r>
      <w:r w:rsidR="002C53B1" w:rsidRPr="003D4922">
        <w:rPr>
          <w:lang w:val="en-US"/>
        </w:rPr>
        <w:t xml:space="preserve">First, </w:t>
      </w:r>
      <w:r w:rsidR="00123F22" w:rsidRPr="003D4922">
        <w:rPr>
          <w:lang w:val="en-US"/>
        </w:rPr>
        <w:t xml:space="preserve">such advanced BWP based scheme requires more than one configured DL and UL BWP pair with unaligned center frequencies </w:t>
      </w:r>
      <w:r w:rsidR="00AD3A88" w:rsidRPr="003D4922">
        <w:rPr>
          <w:lang w:val="en-US"/>
        </w:rPr>
        <w:t xml:space="preserve">in cases </w:t>
      </w:r>
      <w:r w:rsidR="00123F22" w:rsidRPr="003D4922">
        <w:rPr>
          <w:lang w:val="en-US"/>
        </w:rPr>
        <w:t xml:space="preserve">with asymmetric UL-DL frequency partitioning </w:t>
      </w:r>
      <w:r w:rsidR="00AD3A88" w:rsidRPr="003D4922">
        <w:rPr>
          <w:lang w:val="en-US"/>
        </w:rPr>
        <w:t xml:space="preserve">such as </w:t>
      </w:r>
      <w:r w:rsidR="00123F22" w:rsidRPr="003D4922">
        <w:rPr>
          <w:lang w:val="en-US"/>
        </w:rPr>
        <w:t>D-U and U-D frequency domain configurations</w:t>
      </w:r>
      <w:r w:rsidR="000C6E47" w:rsidRPr="003D4922">
        <w:rPr>
          <w:lang w:val="en-US"/>
        </w:rPr>
        <w:t xml:space="preserve">. This is not in line with </w:t>
      </w:r>
      <w:r w:rsidR="00123F22" w:rsidRPr="003D4922">
        <w:rPr>
          <w:lang w:val="en-US"/>
        </w:rPr>
        <w:t xml:space="preserve">the baseline assumptions agreed in RAN1 #110bis-e meeting. Besides that, one of the </w:t>
      </w:r>
      <w:r w:rsidRPr="003D4922">
        <w:rPr>
          <w:lang w:val="en-US"/>
        </w:rPr>
        <w:t>main challenge</w:t>
      </w:r>
      <w:r w:rsidR="00123F22" w:rsidRPr="003D4922">
        <w:rPr>
          <w:lang w:val="en-US"/>
        </w:rPr>
        <w:t>s</w:t>
      </w:r>
      <w:r w:rsidRPr="003D4922">
        <w:rPr>
          <w:lang w:val="en-US"/>
        </w:rPr>
        <w:t xml:space="preserve"> of such advanced BWP based scheme is that it requires very fast BWP switching delay. In practice, the UE shall be able to switch BWP nearly instantaneously from one symbol/slot to the next symbol/slot, </w:t>
      </w:r>
      <w:proofErr w:type="gramStart"/>
      <w:r w:rsidRPr="003D4922">
        <w:rPr>
          <w:lang w:val="en-US"/>
        </w:rPr>
        <w:t>e.g.</w:t>
      </w:r>
      <w:proofErr w:type="gramEnd"/>
      <w:r w:rsidRPr="003D4922">
        <w:rPr>
          <w:lang w:val="en-US"/>
        </w:rPr>
        <w:t xml:space="preserve"> in the transition from a SBFD slot to a TDD slot, and vice versa.  </w:t>
      </w:r>
    </w:p>
    <w:p w14:paraId="482CF032" w14:textId="36816EFA" w:rsidR="00992B6D" w:rsidRDefault="00992B6D">
      <w:pPr>
        <w:pStyle w:val="Observation"/>
      </w:pPr>
      <w:r w:rsidRPr="003D4922">
        <w:t xml:space="preserve"> </w:t>
      </w:r>
      <w:bookmarkStart w:id="583" w:name="_Toc142394804"/>
      <w:bookmarkStart w:id="584" w:name="_Toc142394896"/>
      <w:bookmarkStart w:id="585" w:name="_Toc142397643"/>
      <w:bookmarkStart w:id="586" w:name="_Toc142397741"/>
      <w:bookmarkStart w:id="587" w:name="_Toc142397948"/>
      <w:bookmarkStart w:id="588" w:name="_Toc142399674"/>
      <w:bookmarkStart w:id="589" w:name="_Toc142400760"/>
      <w:bookmarkStart w:id="590" w:name="_Toc142400859"/>
      <w:bookmarkStart w:id="591" w:name="_Toc142400957"/>
      <w:bookmarkStart w:id="592" w:name="_Toc142401067"/>
      <w:bookmarkStart w:id="593" w:name="_Toc142401240"/>
      <w:bookmarkStart w:id="594" w:name="_Toc142466584"/>
      <w:bookmarkStart w:id="595" w:name="_Toc142481203"/>
      <w:bookmarkStart w:id="596" w:name="_Toc142482017"/>
      <w:r w:rsidRPr="003D4922">
        <w:t>For the advanced BWP based scheme, there should be no additional gap due to BWP switch in the transition from SBFD slots to TDD slots, and vice versa.</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0F6247E8" w14:textId="77777777" w:rsidR="007E16D0" w:rsidRPr="003D4922" w:rsidRDefault="007E16D0" w:rsidP="007E16D0">
      <w:pPr>
        <w:spacing w:after="120"/>
        <w:jc w:val="both"/>
        <w:rPr>
          <w:lang w:val="en-US"/>
        </w:rPr>
      </w:pPr>
      <w:r w:rsidRPr="003D4922">
        <w:rPr>
          <w:lang w:val="en-US"/>
        </w:rPr>
        <w:t>Note that, based on current specifications, the BWP switch delay (in FR1) is between 0.75 </w:t>
      </w:r>
      <w:proofErr w:type="spellStart"/>
      <w:r w:rsidRPr="003D4922">
        <w:rPr>
          <w:lang w:val="en-US"/>
        </w:rPr>
        <w:t>ms</w:t>
      </w:r>
      <w:proofErr w:type="spellEnd"/>
      <w:r w:rsidRPr="003D4922">
        <w:rPr>
          <w:lang w:val="en-US"/>
        </w:rPr>
        <w:t xml:space="preserve"> and 3 </w:t>
      </w:r>
      <w:proofErr w:type="spellStart"/>
      <w:r w:rsidRPr="003D4922">
        <w:rPr>
          <w:lang w:val="en-US"/>
        </w:rPr>
        <w:t>ms</w:t>
      </w:r>
      <w:proofErr w:type="spellEnd"/>
      <w:r w:rsidRPr="003D4922">
        <w:rPr>
          <w:lang w:val="en-US"/>
        </w:rPr>
        <w:t xml:space="preserve">, depending on the SCS and the UE capability. Within the BWP switch delay, the UE: (1) is not required to transmit UL signals or receive DL signals on the serving cell, and (2) may be allowed to cause interruptions of up to X slots on other active cells (X is between 0.5 </w:t>
      </w:r>
      <w:proofErr w:type="spellStart"/>
      <w:r w:rsidRPr="003D4922">
        <w:rPr>
          <w:lang w:val="en-US"/>
        </w:rPr>
        <w:t>ms</w:t>
      </w:r>
      <w:proofErr w:type="spellEnd"/>
      <w:r w:rsidRPr="003D4922">
        <w:rPr>
          <w:lang w:val="en-US"/>
        </w:rPr>
        <w:t xml:space="preserve"> and 1 </w:t>
      </w:r>
      <w:proofErr w:type="spellStart"/>
      <w:r w:rsidRPr="003D4922">
        <w:rPr>
          <w:lang w:val="en-US"/>
        </w:rPr>
        <w:t>ms</w:t>
      </w:r>
      <w:proofErr w:type="spellEnd"/>
      <w:r w:rsidRPr="003D4922">
        <w:rPr>
          <w:lang w:val="en-US"/>
        </w:rPr>
        <w:t xml:space="preserve"> depending on the SCS). More details can be found in TS 38.133, sections 8.6.2 and 8.2.2.2.5. </w:t>
      </w:r>
    </w:p>
    <w:p w14:paraId="486D4B13" w14:textId="77777777" w:rsidR="007E16D0" w:rsidRPr="003D4922" w:rsidRDefault="007E16D0" w:rsidP="007E16D0">
      <w:pPr>
        <w:spacing w:after="120"/>
        <w:jc w:val="both"/>
        <w:rPr>
          <w:lang w:val="en-US"/>
        </w:rPr>
      </w:pPr>
      <w:r>
        <w:rPr>
          <w:lang w:val="en-US"/>
        </w:rPr>
        <w:t>Note that o</w:t>
      </w:r>
      <w:r w:rsidRPr="003D4922">
        <w:rPr>
          <w:lang w:val="en-US"/>
        </w:rPr>
        <w:t xml:space="preserve">ne of the main advantages of matching the UE DL/UL BWP to the portion of the cell spectrum allocated for DL transmission/UL reception in each slot/symbol is that the UE may adjust its digital filter bandwidth to the active BWP, with consequent benefits in terms of reduced inter-subband UE-2-UE cross link interference. In case the UE has this capability, it may also be assumed the UE can adapt its digital filter bandwidth to match the UL/DL subband with the RB-set based scheme, if the UE is aware of the UL/DL frequency partitioning in SBFD symbols. Therefore, the ability to better suppress inter-subband UE-2-UE CLI is more related to the UE capability of dynamically and rapidly adapting its digital filter bandwidth to the time varying UL/DL subband, and not much to whether the RB-set </w:t>
      </w:r>
      <w:proofErr w:type="gramStart"/>
      <w:r w:rsidRPr="003D4922">
        <w:rPr>
          <w:lang w:val="en-US"/>
        </w:rPr>
        <w:t>based</w:t>
      </w:r>
      <w:proofErr w:type="gramEnd"/>
      <w:r w:rsidRPr="003D4922">
        <w:rPr>
          <w:lang w:val="en-US"/>
        </w:rPr>
        <w:t xml:space="preserve"> or </w:t>
      </w:r>
      <w:r>
        <w:rPr>
          <w:lang w:val="en-US"/>
        </w:rPr>
        <w:t xml:space="preserve">the advanced </w:t>
      </w:r>
      <w:r w:rsidRPr="003D4922">
        <w:rPr>
          <w:lang w:val="en-US"/>
        </w:rPr>
        <w:t xml:space="preserve">BWP based scheme is assumed. </w:t>
      </w:r>
    </w:p>
    <w:p w14:paraId="7F078BD2" w14:textId="77777777" w:rsidR="00992B6D" w:rsidRPr="003D4922" w:rsidRDefault="00992B6D" w:rsidP="00992B6D">
      <w:pPr>
        <w:jc w:val="both"/>
        <w:rPr>
          <w:lang w:val="en-US"/>
        </w:rPr>
      </w:pPr>
      <w:r w:rsidRPr="003D4922">
        <w:rPr>
          <w:noProof/>
          <w:lang w:val="en-US"/>
        </w:rPr>
        <w:drawing>
          <wp:inline distT="0" distB="0" distL="0" distR="0" wp14:anchorId="5F661A65" wp14:editId="6B0F8CE0">
            <wp:extent cx="6012180" cy="24993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2180" cy="2499360"/>
                    </a:xfrm>
                    <a:prstGeom prst="rect">
                      <a:avLst/>
                    </a:prstGeom>
                    <a:noFill/>
                    <a:ln>
                      <a:noFill/>
                    </a:ln>
                  </pic:spPr>
                </pic:pic>
              </a:graphicData>
            </a:graphic>
          </wp:inline>
        </w:drawing>
      </w:r>
    </w:p>
    <w:p w14:paraId="5F8BF970" w14:textId="7E49C71A" w:rsidR="00992B6D" w:rsidRPr="003D4922" w:rsidRDefault="00992B6D" w:rsidP="00992B6D">
      <w:pPr>
        <w:pStyle w:val="Caption"/>
        <w:jc w:val="center"/>
        <w:rPr>
          <w:b w:val="0"/>
          <w:bCs/>
          <w:i/>
          <w:lang w:val="en-US"/>
        </w:rPr>
      </w:pPr>
      <w:bookmarkStart w:id="597" w:name="_Ref113434569"/>
      <w:r w:rsidRPr="003D4922">
        <w:rPr>
          <w:b w:val="0"/>
          <w:bCs/>
          <w:i/>
          <w:lang w:val="en-US"/>
        </w:rPr>
        <w:t xml:space="preserve">Figure </w:t>
      </w:r>
      <w:r w:rsidRPr="003D4922">
        <w:rPr>
          <w:b w:val="0"/>
          <w:bCs/>
          <w:i/>
          <w:lang w:val="en-US"/>
        </w:rPr>
        <w:fldChar w:fldCharType="begin"/>
      </w:r>
      <w:r w:rsidRPr="003D4922">
        <w:rPr>
          <w:i/>
          <w:lang w:val="en-US"/>
        </w:rPr>
        <w:instrText xml:space="preserve"> SEQ Figure \* ARABIC </w:instrText>
      </w:r>
      <w:r w:rsidR="006D080B">
        <w:rPr>
          <w:b w:val="0"/>
          <w:bCs/>
          <w:i/>
          <w:lang w:val="en-US"/>
        </w:rPr>
        <w:fldChar w:fldCharType="separate"/>
      </w:r>
      <w:r w:rsidRPr="003D4922">
        <w:rPr>
          <w:b w:val="0"/>
          <w:bCs/>
          <w:i/>
          <w:lang w:val="en-US"/>
        </w:rPr>
        <w:fldChar w:fldCharType="end"/>
      </w:r>
      <w:bookmarkEnd w:id="597"/>
      <w:r w:rsidRPr="003D4922">
        <w:rPr>
          <w:b w:val="0"/>
          <w:bCs/>
          <w:i/>
          <w:lang w:val="en-US"/>
        </w:rPr>
        <w:t xml:space="preserve"> Advanced BWP based scheme</w:t>
      </w:r>
    </w:p>
    <w:p w14:paraId="518CF62B" w14:textId="34AB820B" w:rsidR="00992B6D" w:rsidRPr="003D4922" w:rsidRDefault="00992B6D">
      <w:pPr>
        <w:pStyle w:val="Observation"/>
      </w:pPr>
      <w:bookmarkStart w:id="598" w:name="_Toc142394805"/>
      <w:bookmarkStart w:id="599" w:name="_Toc142394897"/>
      <w:bookmarkStart w:id="600" w:name="_Toc142397644"/>
      <w:bookmarkStart w:id="601" w:name="_Toc142397742"/>
      <w:bookmarkStart w:id="602" w:name="_Toc142397949"/>
      <w:bookmarkStart w:id="603" w:name="_Toc142399675"/>
      <w:bookmarkStart w:id="604" w:name="_Toc142400761"/>
      <w:bookmarkStart w:id="605" w:name="_Toc142400860"/>
      <w:bookmarkStart w:id="606" w:name="_Toc142400958"/>
      <w:bookmarkStart w:id="607" w:name="_Toc142401068"/>
      <w:bookmarkStart w:id="608" w:name="_Toc142401241"/>
      <w:bookmarkStart w:id="609" w:name="_Toc142466585"/>
      <w:bookmarkStart w:id="610" w:name="_Toc142481204"/>
      <w:bookmarkStart w:id="611" w:name="_Toc142482018"/>
      <w:r w:rsidRPr="003D4922">
        <w:t xml:space="preserve">In terms of digital filter bandwidth adaptation at </w:t>
      </w:r>
      <w:r w:rsidR="006157BE">
        <w:t xml:space="preserve">the </w:t>
      </w:r>
      <w:r w:rsidRPr="003D4922">
        <w:t>UE, there is substantially no difference between the RB-set based and the advanced BWP based approach.</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3D4922">
        <w:t xml:space="preserve"> </w:t>
      </w:r>
    </w:p>
    <w:p w14:paraId="27CCAD5C" w14:textId="544391F1" w:rsidR="00992B6D" w:rsidRPr="003D4922" w:rsidRDefault="007515E5" w:rsidP="00992B6D">
      <w:pPr>
        <w:spacing w:after="120"/>
        <w:jc w:val="both"/>
        <w:rPr>
          <w:lang w:val="en-US"/>
        </w:rPr>
      </w:pPr>
      <w:r w:rsidRPr="003D4922">
        <w:rPr>
          <w:lang w:val="en-US"/>
        </w:rPr>
        <w:t>I</w:t>
      </w:r>
      <w:r w:rsidR="00992B6D" w:rsidRPr="003D4922">
        <w:rPr>
          <w:lang w:val="en-US"/>
        </w:rPr>
        <w:t xml:space="preserve">t should </w:t>
      </w:r>
      <w:r w:rsidRPr="003D4922">
        <w:rPr>
          <w:lang w:val="en-US"/>
        </w:rPr>
        <w:t xml:space="preserve">also </w:t>
      </w:r>
      <w:r w:rsidR="00992B6D" w:rsidRPr="003D4922">
        <w:rPr>
          <w:lang w:val="en-US"/>
        </w:rPr>
        <w:t xml:space="preserve">be noted that in current NR specifications the in-band emission requirements are not depending on the BWP configuration. Many legacy devices do not adapt their digital filter’s bandwidth to the active BWP. Unless new in-band requirements are specified for SBFD aware UEs, we do not think that better UL transmission and DL reception filtering is in practice an advantage of any of the proposed schemes, though it may be easier to implement for the </w:t>
      </w:r>
      <w:r w:rsidR="005F7A70">
        <w:rPr>
          <w:lang w:val="en-US"/>
        </w:rPr>
        <w:t>basic</w:t>
      </w:r>
      <w:r w:rsidR="005F7A70" w:rsidRPr="003D4922">
        <w:rPr>
          <w:lang w:val="en-US"/>
        </w:rPr>
        <w:t xml:space="preserve"> </w:t>
      </w:r>
      <w:r w:rsidR="00992B6D" w:rsidRPr="003D4922">
        <w:rPr>
          <w:lang w:val="en-US"/>
        </w:rPr>
        <w:t xml:space="preserve">BWP based scheme.  </w:t>
      </w:r>
    </w:p>
    <w:p w14:paraId="72236D33" w14:textId="7C197062" w:rsidR="00992B6D" w:rsidRPr="003D4922" w:rsidRDefault="00992B6D">
      <w:pPr>
        <w:pStyle w:val="Observation"/>
      </w:pPr>
      <w:bookmarkStart w:id="612" w:name="_Toc142394806"/>
      <w:bookmarkStart w:id="613" w:name="_Toc142394898"/>
      <w:bookmarkStart w:id="614" w:name="_Toc142397645"/>
      <w:bookmarkStart w:id="615" w:name="_Toc142397743"/>
      <w:bookmarkStart w:id="616" w:name="_Toc142397950"/>
      <w:bookmarkStart w:id="617" w:name="_Toc142399676"/>
      <w:bookmarkStart w:id="618" w:name="_Toc142400762"/>
      <w:bookmarkStart w:id="619" w:name="_Toc142400861"/>
      <w:bookmarkStart w:id="620" w:name="_Toc142400959"/>
      <w:bookmarkStart w:id="621" w:name="_Toc142401069"/>
      <w:bookmarkStart w:id="622" w:name="_Toc142401242"/>
      <w:bookmarkStart w:id="623" w:name="_Toc142466586"/>
      <w:bookmarkStart w:id="624" w:name="_Toc142481205"/>
      <w:bookmarkStart w:id="625" w:name="_Toc142482019"/>
      <w:r w:rsidRPr="003D4922">
        <w:t>Unless new in-band emission requirements are specified, better UL transmission and DL reception filtering should not be considered as an advantage of any of the proposed schemes.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54212201" w14:textId="6DCDC48B" w:rsidR="00992B6D" w:rsidRPr="00C53E69" w:rsidRDefault="00992B6D" w:rsidP="00992B6D">
      <w:pPr>
        <w:spacing w:after="120"/>
        <w:jc w:val="both"/>
        <w:rPr>
          <w:lang w:val="en-US"/>
        </w:rPr>
      </w:pPr>
      <w:r w:rsidRPr="00C53E69">
        <w:rPr>
          <w:lang w:val="en-US"/>
        </w:rPr>
        <w:t xml:space="preserve">In </w:t>
      </w:r>
      <w:r w:rsidR="00C53E69" w:rsidRPr="00C53E69">
        <w:rPr>
          <w:lang w:val="en-US"/>
        </w:rPr>
        <w:fldChar w:fldCharType="begin"/>
      </w:r>
      <w:r w:rsidR="00C53E69" w:rsidRPr="00C53E69">
        <w:rPr>
          <w:lang w:val="en-US"/>
        </w:rPr>
        <w:instrText xml:space="preserve"> REF _Ref112676041 \h  \* MERGEFORMAT </w:instrText>
      </w:r>
      <w:r w:rsidR="00C53E69" w:rsidRPr="00C53E69">
        <w:rPr>
          <w:lang w:val="en-US"/>
        </w:rPr>
      </w:r>
      <w:r w:rsidR="00C53E69" w:rsidRPr="00C53E69">
        <w:rPr>
          <w:lang w:val="en-US"/>
        </w:rPr>
        <w:fldChar w:fldCharType="separate"/>
      </w:r>
      <w:r w:rsidR="00C15552" w:rsidRPr="00E26FCA">
        <w:rPr>
          <w:lang w:val="en-US"/>
        </w:rPr>
        <w:t xml:space="preserve">Table </w:t>
      </w:r>
      <w:r w:rsidR="00C15552" w:rsidRPr="00E26FCA">
        <w:rPr>
          <w:noProof/>
          <w:lang w:val="en-US"/>
        </w:rPr>
        <w:t>1</w:t>
      </w:r>
      <w:r w:rsidR="00C53E69" w:rsidRPr="00C53E69">
        <w:rPr>
          <w:lang w:val="en-US"/>
        </w:rPr>
        <w:fldChar w:fldCharType="end"/>
      </w:r>
      <w:r w:rsidRPr="00C53E69">
        <w:rPr>
          <w:lang w:val="en-US"/>
        </w:rPr>
        <w:t xml:space="preserve"> below we summarize the pros/cons and specification impacts of the different options. </w:t>
      </w:r>
    </w:p>
    <w:p w14:paraId="16227089" w14:textId="3E307568" w:rsidR="00992B6D" w:rsidRPr="003D4922" w:rsidRDefault="00992B6D" w:rsidP="00992B6D">
      <w:pPr>
        <w:pStyle w:val="Caption"/>
        <w:keepNext/>
        <w:jc w:val="center"/>
        <w:rPr>
          <w:b w:val="0"/>
          <w:bCs/>
          <w:i/>
          <w:lang w:val="en-US"/>
        </w:rPr>
      </w:pPr>
      <w:bookmarkStart w:id="626" w:name="_Ref112676041"/>
      <w:r w:rsidRPr="003D4922">
        <w:rPr>
          <w:b w:val="0"/>
          <w:bCs/>
          <w:i/>
          <w:lang w:val="en-US"/>
        </w:rPr>
        <w:t xml:space="preserve">Table </w:t>
      </w:r>
      <w:r w:rsidRPr="003F033C">
        <w:rPr>
          <w:b w:val="0"/>
          <w:bCs/>
          <w:i/>
          <w:lang w:val="en-US"/>
        </w:rPr>
        <w:fldChar w:fldCharType="begin"/>
      </w:r>
      <w:r w:rsidRPr="003F033C">
        <w:rPr>
          <w:b w:val="0"/>
          <w:bCs/>
          <w:i/>
          <w:lang w:val="en-US"/>
        </w:rPr>
        <w:instrText xml:space="preserve"> SEQ Table \* ARABIC </w:instrText>
      </w:r>
      <w:r w:rsidRPr="003F033C">
        <w:rPr>
          <w:b w:val="0"/>
          <w:bCs/>
          <w:i/>
          <w:lang w:val="en-US"/>
        </w:rPr>
        <w:fldChar w:fldCharType="separate"/>
      </w:r>
      <w:r w:rsidR="00C15552">
        <w:rPr>
          <w:b w:val="0"/>
          <w:bCs/>
          <w:i/>
          <w:noProof/>
          <w:lang w:val="en-US"/>
        </w:rPr>
        <w:t>1</w:t>
      </w:r>
      <w:r w:rsidRPr="003F033C">
        <w:rPr>
          <w:b w:val="0"/>
          <w:bCs/>
          <w:i/>
          <w:lang w:val="en-US"/>
        </w:rPr>
        <w:fldChar w:fldCharType="end"/>
      </w:r>
      <w:bookmarkEnd w:id="626"/>
      <w:r w:rsidRPr="003D4922">
        <w:rPr>
          <w:b w:val="0"/>
          <w:bCs/>
          <w:i/>
          <w:lang w:val="en-US"/>
        </w:rPr>
        <w:t xml:space="preserve"> Pros and cons of RB-set </w:t>
      </w:r>
      <w:proofErr w:type="gramStart"/>
      <w:r w:rsidRPr="003D4922">
        <w:rPr>
          <w:b w:val="0"/>
          <w:bCs/>
          <w:i/>
          <w:lang w:val="en-US"/>
        </w:rPr>
        <w:t>based</w:t>
      </w:r>
      <w:proofErr w:type="gramEnd"/>
      <w:r w:rsidRPr="003D4922">
        <w:rPr>
          <w:b w:val="0"/>
          <w:bCs/>
          <w:i/>
          <w:lang w:val="en-US"/>
        </w:rPr>
        <w:t xml:space="preserve"> and BWP based SBFD schemes</w:t>
      </w:r>
    </w:p>
    <w:tbl>
      <w:tblPr>
        <w:tblStyle w:val="GridTable4"/>
        <w:tblW w:w="9634" w:type="dxa"/>
        <w:tblLook w:val="0600" w:firstRow="0" w:lastRow="0" w:firstColumn="0" w:lastColumn="0" w:noHBand="1" w:noVBand="1"/>
      </w:tblPr>
      <w:tblGrid>
        <w:gridCol w:w="3114"/>
        <w:gridCol w:w="2173"/>
        <w:gridCol w:w="2173"/>
        <w:gridCol w:w="2174"/>
      </w:tblGrid>
      <w:tr w:rsidR="003D4922" w:rsidRPr="003D4922" w14:paraId="5FC98943" w14:textId="77777777" w:rsidTr="007B79C4">
        <w:tc>
          <w:tcPr>
            <w:tcW w:w="3114" w:type="dxa"/>
          </w:tcPr>
          <w:p w14:paraId="4243E806" w14:textId="77777777" w:rsidR="00992B6D" w:rsidRPr="003D4922" w:rsidRDefault="00992B6D" w:rsidP="007B79C4">
            <w:pPr>
              <w:rPr>
                <w:lang w:val="en-US"/>
              </w:rPr>
            </w:pPr>
          </w:p>
        </w:tc>
        <w:tc>
          <w:tcPr>
            <w:tcW w:w="2173" w:type="dxa"/>
          </w:tcPr>
          <w:p w14:paraId="4229071F" w14:textId="77777777" w:rsidR="00992B6D" w:rsidRPr="003D4922" w:rsidRDefault="00992B6D" w:rsidP="007B79C4">
            <w:pPr>
              <w:rPr>
                <w:lang w:val="en-US"/>
              </w:rPr>
            </w:pPr>
            <w:r w:rsidRPr="003D4922">
              <w:rPr>
                <w:lang w:val="en-US"/>
              </w:rPr>
              <w:t>RB-set based</w:t>
            </w:r>
          </w:p>
        </w:tc>
        <w:tc>
          <w:tcPr>
            <w:tcW w:w="2173" w:type="dxa"/>
          </w:tcPr>
          <w:p w14:paraId="3B02FB0A" w14:textId="738D5A49" w:rsidR="00992B6D" w:rsidRPr="003D4922" w:rsidRDefault="00C53E69" w:rsidP="007B79C4">
            <w:pPr>
              <w:rPr>
                <w:lang w:val="en-US"/>
              </w:rPr>
            </w:pPr>
            <w:r>
              <w:rPr>
                <w:lang w:val="en-US"/>
              </w:rPr>
              <w:t>B</w:t>
            </w:r>
            <w:r w:rsidR="00C06D6B">
              <w:rPr>
                <w:lang w:val="en-US"/>
              </w:rPr>
              <w:t>asic</w:t>
            </w:r>
            <w:r w:rsidR="00C06D6B" w:rsidRPr="003D4922">
              <w:rPr>
                <w:lang w:val="en-US"/>
              </w:rPr>
              <w:t xml:space="preserve"> </w:t>
            </w:r>
            <w:r w:rsidR="00992B6D" w:rsidRPr="003D4922">
              <w:rPr>
                <w:lang w:val="en-US"/>
              </w:rPr>
              <w:t>BWP based</w:t>
            </w:r>
          </w:p>
        </w:tc>
        <w:tc>
          <w:tcPr>
            <w:tcW w:w="2174" w:type="dxa"/>
          </w:tcPr>
          <w:p w14:paraId="7C65931C" w14:textId="77777777" w:rsidR="00992B6D" w:rsidRPr="003D4922" w:rsidRDefault="00992B6D" w:rsidP="007B79C4">
            <w:pPr>
              <w:rPr>
                <w:lang w:val="en-US"/>
              </w:rPr>
            </w:pPr>
            <w:r w:rsidRPr="003D4922">
              <w:rPr>
                <w:lang w:val="en-US"/>
              </w:rPr>
              <w:t>Advanced BWP based</w:t>
            </w:r>
          </w:p>
        </w:tc>
      </w:tr>
      <w:tr w:rsidR="003D4922" w:rsidRPr="003D4922" w14:paraId="2393A16A" w14:textId="77777777" w:rsidTr="007B79C4">
        <w:tc>
          <w:tcPr>
            <w:tcW w:w="3114" w:type="dxa"/>
          </w:tcPr>
          <w:p w14:paraId="51A3C55A" w14:textId="77777777" w:rsidR="00992B6D" w:rsidRPr="003D4922" w:rsidRDefault="00992B6D" w:rsidP="007B79C4">
            <w:pPr>
              <w:rPr>
                <w:lang w:val="en-US"/>
              </w:rPr>
            </w:pPr>
            <w:r w:rsidRPr="003D4922">
              <w:rPr>
                <w:lang w:val="en-US"/>
              </w:rPr>
              <w:t>Peak data rate</w:t>
            </w:r>
          </w:p>
        </w:tc>
        <w:tc>
          <w:tcPr>
            <w:tcW w:w="2173" w:type="dxa"/>
          </w:tcPr>
          <w:p w14:paraId="12D6EAC2" w14:textId="77777777" w:rsidR="00992B6D" w:rsidRPr="003D4922" w:rsidRDefault="00992B6D" w:rsidP="007B79C4">
            <w:pPr>
              <w:rPr>
                <w:lang w:val="en-US"/>
              </w:rPr>
            </w:pPr>
            <w:r w:rsidRPr="003D4922">
              <w:rPr>
                <w:lang w:val="en-US"/>
              </w:rPr>
              <w:t>High</w:t>
            </w:r>
          </w:p>
        </w:tc>
        <w:tc>
          <w:tcPr>
            <w:tcW w:w="2173" w:type="dxa"/>
          </w:tcPr>
          <w:p w14:paraId="59F8DEE1" w14:textId="77777777" w:rsidR="00992B6D" w:rsidRPr="003D4922" w:rsidRDefault="00992B6D" w:rsidP="007B79C4">
            <w:pPr>
              <w:rPr>
                <w:lang w:val="en-US"/>
              </w:rPr>
            </w:pPr>
            <w:r w:rsidRPr="003D4922">
              <w:rPr>
                <w:lang w:val="en-US"/>
              </w:rPr>
              <w:t>Low</w:t>
            </w:r>
          </w:p>
          <w:p w14:paraId="3B8B45BD" w14:textId="77777777" w:rsidR="00992B6D" w:rsidRPr="003D4922" w:rsidRDefault="00992B6D" w:rsidP="007B79C4">
            <w:pPr>
              <w:rPr>
                <w:lang w:val="en-US"/>
              </w:rPr>
            </w:pPr>
            <w:r w:rsidRPr="003D4922">
              <w:rPr>
                <w:lang w:val="en-US"/>
              </w:rPr>
              <w:t>(Limited by subband size)</w:t>
            </w:r>
          </w:p>
        </w:tc>
        <w:tc>
          <w:tcPr>
            <w:tcW w:w="2174" w:type="dxa"/>
          </w:tcPr>
          <w:p w14:paraId="68FF41FE" w14:textId="77777777" w:rsidR="00992B6D" w:rsidRPr="003D4922" w:rsidRDefault="00992B6D" w:rsidP="007B79C4">
            <w:pPr>
              <w:rPr>
                <w:lang w:val="en-US"/>
              </w:rPr>
            </w:pPr>
            <w:r w:rsidRPr="003D4922">
              <w:rPr>
                <w:lang w:val="en-US"/>
              </w:rPr>
              <w:t>High</w:t>
            </w:r>
          </w:p>
        </w:tc>
      </w:tr>
      <w:tr w:rsidR="003D4922" w:rsidRPr="003D4922" w14:paraId="1287404C" w14:textId="77777777" w:rsidTr="007B79C4">
        <w:tc>
          <w:tcPr>
            <w:tcW w:w="3114" w:type="dxa"/>
          </w:tcPr>
          <w:p w14:paraId="71A427D0" w14:textId="77777777" w:rsidR="00992B6D" w:rsidRPr="003D4922" w:rsidRDefault="00992B6D" w:rsidP="007B79C4">
            <w:pPr>
              <w:rPr>
                <w:lang w:val="en-US"/>
              </w:rPr>
            </w:pPr>
            <w:r w:rsidRPr="003D4922">
              <w:rPr>
                <w:lang w:val="en-US"/>
              </w:rPr>
              <w:t>Signaling overhead</w:t>
            </w:r>
          </w:p>
        </w:tc>
        <w:tc>
          <w:tcPr>
            <w:tcW w:w="2173" w:type="dxa"/>
          </w:tcPr>
          <w:p w14:paraId="41983B44" w14:textId="77777777" w:rsidR="00992B6D" w:rsidRPr="003D4922" w:rsidRDefault="00992B6D" w:rsidP="007B79C4">
            <w:pPr>
              <w:rPr>
                <w:lang w:val="en-US"/>
              </w:rPr>
            </w:pPr>
            <w:r w:rsidRPr="003D4922">
              <w:rPr>
                <w:lang w:val="en-US"/>
              </w:rPr>
              <w:t>Low</w:t>
            </w:r>
          </w:p>
        </w:tc>
        <w:tc>
          <w:tcPr>
            <w:tcW w:w="2173" w:type="dxa"/>
          </w:tcPr>
          <w:p w14:paraId="08267E57" w14:textId="77777777" w:rsidR="00992B6D" w:rsidRPr="003D4922" w:rsidRDefault="00992B6D" w:rsidP="007B79C4">
            <w:pPr>
              <w:rPr>
                <w:lang w:val="en-US"/>
              </w:rPr>
            </w:pPr>
            <w:r w:rsidRPr="003D4922">
              <w:rPr>
                <w:lang w:val="en-US"/>
              </w:rPr>
              <w:t>High</w:t>
            </w:r>
          </w:p>
          <w:p w14:paraId="47C992E4" w14:textId="77777777" w:rsidR="00992B6D" w:rsidRPr="003D4922" w:rsidRDefault="00992B6D" w:rsidP="007B79C4">
            <w:pPr>
              <w:rPr>
                <w:lang w:val="en-US"/>
              </w:rPr>
            </w:pPr>
            <w:r w:rsidRPr="003D4922">
              <w:rPr>
                <w:lang w:val="en-US"/>
              </w:rPr>
              <w:t>(at least one SSB per subband)</w:t>
            </w:r>
          </w:p>
        </w:tc>
        <w:tc>
          <w:tcPr>
            <w:tcW w:w="2174" w:type="dxa"/>
          </w:tcPr>
          <w:p w14:paraId="1B151304" w14:textId="77777777" w:rsidR="00992B6D" w:rsidRPr="003D4922" w:rsidRDefault="00992B6D" w:rsidP="007B79C4">
            <w:pPr>
              <w:rPr>
                <w:lang w:val="en-US"/>
              </w:rPr>
            </w:pPr>
            <w:r w:rsidRPr="003D4922">
              <w:rPr>
                <w:lang w:val="en-US"/>
              </w:rPr>
              <w:t>Low</w:t>
            </w:r>
          </w:p>
        </w:tc>
      </w:tr>
      <w:tr w:rsidR="003D4922" w:rsidRPr="003D4922" w14:paraId="3C8159BF" w14:textId="77777777" w:rsidTr="007B79C4">
        <w:tc>
          <w:tcPr>
            <w:tcW w:w="3114" w:type="dxa"/>
          </w:tcPr>
          <w:p w14:paraId="69BA4DCB" w14:textId="77777777" w:rsidR="00992B6D" w:rsidRPr="003D4922" w:rsidRDefault="00992B6D" w:rsidP="007B79C4">
            <w:pPr>
              <w:rPr>
                <w:lang w:val="en-US"/>
              </w:rPr>
            </w:pPr>
            <w:r w:rsidRPr="003D4922">
              <w:rPr>
                <w:lang w:val="en-US"/>
              </w:rPr>
              <w:t>Spec modifications for UL/DL Collision Handling in SBFD slots/symbols</w:t>
            </w:r>
          </w:p>
        </w:tc>
        <w:tc>
          <w:tcPr>
            <w:tcW w:w="2173" w:type="dxa"/>
          </w:tcPr>
          <w:p w14:paraId="2B4748B4" w14:textId="77777777" w:rsidR="00992B6D" w:rsidRPr="003D4922" w:rsidRDefault="00992B6D" w:rsidP="007B79C4">
            <w:pPr>
              <w:rPr>
                <w:lang w:val="en-US"/>
              </w:rPr>
            </w:pPr>
            <w:r w:rsidRPr="003D4922">
              <w:rPr>
                <w:lang w:val="en-US"/>
              </w:rPr>
              <w:t xml:space="preserve">Yes </w:t>
            </w:r>
          </w:p>
          <w:p w14:paraId="68BCE0B4" w14:textId="77777777" w:rsidR="00992B6D" w:rsidRPr="003D4922" w:rsidRDefault="00992B6D" w:rsidP="007B79C4">
            <w:pPr>
              <w:rPr>
                <w:lang w:val="en-US"/>
              </w:rPr>
            </w:pPr>
            <w:r w:rsidRPr="003D4922">
              <w:rPr>
                <w:lang w:val="en-US"/>
              </w:rPr>
              <w:t>(One slot/symbol can have both UL and DL resources)</w:t>
            </w:r>
          </w:p>
        </w:tc>
        <w:tc>
          <w:tcPr>
            <w:tcW w:w="2173" w:type="dxa"/>
          </w:tcPr>
          <w:p w14:paraId="310545E3" w14:textId="77777777" w:rsidR="00992B6D" w:rsidRPr="003D4922" w:rsidRDefault="00992B6D" w:rsidP="007B79C4">
            <w:pPr>
              <w:rPr>
                <w:lang w:val="en-US"/>
              </w:rPr>
            </w:pPr>
            <w:r w:rsidRPr="003D4922">
              <w:rPr>
                <w:lang w:val="en-US"/>
              </w:rPr>
              <w:t xml:space="preserve">No </w:t>
            </w:r>
          </w:p>
          <w:p w14:paraId="3256EFE8" w14:textId="77777777" w:rsidR="00992B6D" w:rsidRPr="003D4922" w:rsidRDefault="00992B6D" w:rsidP="007B79C4">
            <w:pPr>
              <w:spacing w:after="60"/>
              <w:rPr>
                <w:lang w:val="en-US"/>
              </w:rPr>
            </w:pPr>
            <w:r w:rsidRPr="003D4922">
              <w:rPr>
                <w:lang w:val="en-US"/>
              </w:rPr>
              <w:t>(Only UL/DL resources in a slot/symbol)</w:t>
            </w:r>
          </w:p>
        </w:tc>
        <w:tc>
          <w:tcPr>
            <w:tcW w:w="2174" w:type="dxa"/>
          </w:tcPr>
          <w:p w14:paraId="4C3E53F9" w14:textId="77777777" w:rsidR="00992B6D" w:rsidRPr="003D4922" w:rsidRDefault="00992B6D" w:rsidP="007B79C4">
            <w:pPr>
              <w:rPr>
                <w:lang w:val="en-US"/>
              </w:rPr>
            </w:pPr>
            <w:r w:rsidRPr="003D4922">
              <w:rPr>
                <w:lang w:val="en-US"/>
              </w:rPr>
              <w:t xml:space="preserve">Yes </w:t>
            </w:r>
          </w:p>
          <w:p w14:paraId="0E28563F" w14:textId="77777777" w:rsidR="00992B6D" w:rsidRPr="003D4922" w:rsidRDefault="00992B6D" w:rsidP="007B79C4">
            <w:pPr>
              <w:rPr>
                <w:lang w:val="en-US"/>
              </w:rPr>
            </w:pPr>
            <w:r w:rsidRPr="003D4922">
              <w:rPr>
                <w:lang w:val="en-US"/>
              </w:rPr>
              <w:t>(One slot/symbol can have both UL and DL resources)</w:t>
            </w:r>
          </w:p>
        </w:tc>
      </w:tr>
      <w:tr w:rsidR="003D4922" w:rsidRPr="003D4922" w14:paraId="205FE191" w14:textId="77777777" w:rsidTr="007B79C4">
        <w:tc>
          <w:tcPr>
            <w:tcW w:w="3114" w:type="dxa"/>
          </w:tcPr>
          <w:p w14:paraId="495CCA54" w14:textId="77777777" w:rsidR="00992B6D" w:rsidRPr="003D4922" w:rsidRDefault="00992B6D" w:rsidP="007B79C4">
            <w:pPr>
              <w:rPr>
                <w:lang w:val="en-US"/>
              </w:rPr>
            </w:pPr>
            <w:r w:rsidRPr="003D4922">
              <w:rPr>
                <w:lang w:val="en-US"/>
              </w:rPr>
              <w:t>Spec modifications for adaptation of (semi-statically) allocated resources to available UL/DL resources in SBFD slots/symbols</w:t>
            </w:r>
          </w:p>
        </w:tc>
        <w:tc>
          <w:tcPr>
            <w:tcW w:w="2173" w:type="dxa"/>
          </w:tcPr>
          <w:p w14:paraId="07CADF79" w14:textId="77777777" w:rsidR="00992B6D" w:rsidRPr="003D4922" w:rsidRDefault="00992B6D" w:rsidP="007B79C4">
            <w:pPr>
              <w:rPr>
                <w:lang w:val="en-US"/>
              </w:rPr>
            </w:pPr>
            <w:r w:rsidRPr="003D4922">
              <w:rPr>
                <w:lang w:val="en-US"/>
              </w:rPr>
              <w:t>Yes</w:t>
            </w:r>
          </w:p>
          <w:p w14:paraId="0CEBC81A" w14:textId="77777777" w:rsidR="00992B6D" w:rsidRPr="003D4922" w:rsidRDefault="00992B6D" w:rsidP="007B79C4">
            <w:pPr>
              <w:rPr>
                <w:lang w:val="en-US"/>
              </w:rPr>
            </w:pPr>
            <w:r w:rsidRPr="003D4922">
              <w:rPr>
                <w:lang w:val="en-US"/>
              </w:rPr>
              <w:t>(May only be needed in case of dynamic indication of subband location in time domain)</w:t>
            </w:r>
          </w:p>
        </w:tc>
        <w:tc>
          <w:tcPr>
            <w:tcW w:w="2173" w:type="dxa"/>
          </w:tcPr>
          <w:p w14:paraId="4C684830" w14:textId="77777777" w:rsidR="00992B6D" w:rsidRPr="003D4922" w:rsidRDefault="00992B6D" w:rsidP="007B79C4">
            <w:pPr>
              <w:spacing w:after="60"/>
              <w:rPr>
                <w:lang w:val="en-US"/>
              </w:rPr>
            </w:pPr>
            <w:r w:rsidRPr="003D4922">
              <w:rPr>
                <w:lang w:val="en-US"/>
              </w:rPr>
              <w:t>No</w:t>
            </w:r>
          </w:p>
        </w:tc>
        <w:tc>
          <w:tcPr>
            <w:tcW w:w="2174" w:type="dxa"/>
          </w:tcPr>
          <w:p w14:paraId="57A642DC" w14:textId="77777777" w:rsidR="00992B6D" w:rsidRPr="003D4922" w:rsidRDefault="00992B6D" w:rsidP="007B79C4">
            <w:pPr>
              <w:spacing w:after="60"/>
              <w:rPr>
                <w:lang w:val="en-US"/>
              </w:rPr>
            </w:pPr>
            <w:r w:rsidRPr="003D4922">
              <w:rPr>
                <w:lang w:val="en-US"/>
              </w:rPr>
              <w:t>No</w:t>
            </w:r>
          </w:p>
        </w:tc>
      </w:tr>
      <w:tr w:rsidR="003D4922" w:rsidRPr="003D4922" w14:paraId="00FEA207" w14:textId="77777777" w:rsidTr="007B79C4">
        <w:tc>
          <w:tcPr>
            <w:tcW w:w="3114" w:type="dxa"/>
          </w:tcPr>
          <w:p w14:paraId="195D43E1" w14:textId="77777777" w:rsidR="00992B6D" w:rsidRPr="003D4922" w:rsidRDefault="00992B6D" w:rsidP="007B79C4">
            <w:pPr>
              <w:rPr>
                <w:lang w:val="en-US"/>
              </w:rPr>
            </w:pPr>
            <w:r w:rsidRPr="003D4922">
              <w:rPr>
                <w:lang w:val="en-US"/>
              </w:rPr>
              <w:t>Spec modifications to BWP framework</w:t>
            </w:r>
          </w:p>
        </w:tc>
        <w:tc>
          <w:tcPr>
            <w:tcW w:w="2173" w:type="dxa"/>
          </w:tcPr>
          <w:p w14:paraId="2A01DE2A" w14:textId="77777777" w:rsidR="00992B6D" w:rsidRPr="003D4922" w:rsidRDefault="00992B6D" w:rsidP="007B79C4">
            <w:pPr>
              <w:rPr>
                <w:lang w:val="en-US"/>
              </w:rPr>
            </w:pPr>
            <w:r w:rsidRPr="003D4922">
              <w:rPr>
                <w:lang w:val="en-US"/>
              </w:rPr>
              <w:t>No</w:t>
            </w:r>
          </w:p>
        </w:tc>
        <w:tc>
          <w:tcPr>
            <w:tcW w:w="2173" w:type="dxa"/>
          </w:tcPr>
          <w:p w14:paraId="24B4B96A" w14:textId="77777777" w:rsidR="00992B6D" w:rsidRPr="003D4922" w:rsidRDefault="00992B6D" w:rsidP="007B79C4">
            <w:pPr>
              <w:rPr>
                <w:lang w:val="en-US"/>
              </w:rPr>
            </w:pPr>
            <w:r w:rsidRPr="003D4922">
              <w:rPr>
                <w:lang w:val="en-US"/>
              </w:rPr>
              <w:t>Minor</w:t>
            </w:r>
          </w:p>
          <w:p w14:paraId="4439EE46" w14:textId="77777777" w:rsidR="00992B6D" w:rsidRPr="003D4922" w:rsidRDefault="00992B6D" w:rsidP="007B79C4">
            <w:pPr>
              <w:rPr>
                <w:lang w:val="en-US"/>
              </w:rPr>
            </w:pPr>
            <w:r w:rsidRPr="003D4922">
              <w:rPr>
                <w:lang w:val="en-US"/>
              </w:rPr>
              <w:t>(Specify how to determine the TDD frame structure per BWP pair, BWP consisting of two non-adjacent RB sets, etc.)</w:t>
            </w:r>
          </w:p>
        </w:tc>
        <w:tc>
          <w:tcPr>
            <w:tcW w:w="2174" w:type="dxa"/>
          </w:tcPr>
          <w:p w14:paraId="7D76DA4E" w14:textId="77777777" w:rsidR="00992B6D" w:rsidRPr="003D4922" w:rsidRDefault="00992B6D" w:rsidP="007B79C4">
            <w:pPr>
              <w:rPr>
                <w:lang w:val="en-US"/>
              </w:rPr>
            </w:pPr>
            <w:r w:rsidRPr="003D4922">
              <w:rPr>
                <w:lang w:val="en-US"/>
              </w:rPr>
              <w:t>Yes</w:t>
            </w:r>
          </w:p>
          <w:p w14:paraId="53A1CB3C" w14:textId="77777777" w:rsidR="00992B6D" w:rsidRPr="003D4922" w:rsidRDefault="00992B6D" w:rsidP="007B79C4">
            <w:pPr>
              <w:rPr>
                <w:lang w:val="en-US"/>
              </w:rPr>
            </w:pPr>
            <w:r w:rsidRPr="003D4922">
              <w:rPr>
                <w:lang w:val="en-US"/>
              </w:rPr>
              <w:t>(</w:t>
            </w:r>
            <w:proofErr w:type="gramStart"/>
            <w:r w:rsidRPr="003D4922">
              <w:rPr>
                <w:lang w:val="en-US"/>
              </w:rPr>
              <w:t>E.g.</w:t>
            </w:r>
            <w:proofErr w:type="gramEnd"/>
            <w:r w:rsidRPr="003D4922">
              <w:rPr>
                <w:lang w:val="en-US"/>
              </w:rPr>
              <w:t xml:space="preserve"> support semi-static BWP switching, configuration of BWP pair with unaligned center frequencies for UL and DL BWP, BWP consisting of two non-adjacent RB sets, new BWP switch requirements, etc.)</w:t>
            </w:r>
          </w:p>
        </w:tc>
      </w:tr>
      <w:tr w:rsidR="003D4922" w:rsidRPr="003D4922" w14:paraId="76B0B1D7" w14:textId="77777777" w:rsidTr="007B79C4">
        <w:tc>
          <w:tcPr>
            <w:tcW w:w="3114" w:type="dxa"/>
          </w:tcPr>
          <w:p w14:paraId="439AA93B" w14:textId="77777777" w:rsidR="00992B6D" w:rsidRPr="003D4922" w:rsidRDefault="00992B6D" w:rsidP="007B79C4">
            <w:pPr>
              <w:rPr>
                <w:lang w:val="en-US"/>
              </w:rPr>
            </w:pPr>
            <w:r w:rsidRPr="003D4922">
              <w:rPr>
                <w:lang w:val="en-US"/>
              </w:rPr>
              <w:t>Support dynamic indication of subband location in time domain (with or w/o adaptation of UE digital filter BW to UL/DL subband, depending on UE capability)</w:t>
            </w:r>
          </w:p>
        </w:tc>
        <w:tc>
          <w:tcPr>
            <w:tcW w:w="2173" w:type="dxa"/>
          </w:tcPr>
          <w:p w14:paraId="1F5B093D" w14:textId="77777777" w:rsidR="00992B6D" w:rsidRPr="003D4922" w:rsidRDefault="00992B6D" w:rsidP="007B79C4">
            <w:pPr>
              <w:rPr>
                <w:lang w:val="en-US"/>
              </w:rPr>
            </w:pPr>
            <w:r w:rsidRPr="003D4922">
              <w:rPr>
                <w:lang w:val="en-US"/>
              </w:rPr>
              <w:t>Yes</w:t>
            </w:r>
          </w:p>
          <w:p w14:paraId="027E2F13" w14:textId="77777777" w:rsidR="00992B6D" w:rsidRPr="003D4922" w:rsidRDefault="00992B6D" w:rsidP="007B79C4">
            <w:pPr>
              <w:rPr>
                <w:lang w:val="en-US"/>
              </w:rPr>
            </w:pPr>
          </w:p>
        </w:tc>
        <w:tc>
          <w:tcPr>
            <w:tcW w:w="2173" w:type="dxa"/>
          </w:tcPr>
          <w:p w14:paraId="3DE08B13" w14:textId="77777777" w:rsidR="00992B6D" w:rsidRPr="003D4922" w:rsidRDefault="00992B6D" w:rsidP="007B79C4">
            <w:pPr>
              <w:rPr>
                <w:lang w:val="en-US"/>
              </w:rPr>
            </w:pPr>
            <w:r w:rsidRPr="003D4922">
              <w:rPr>
                <w:lang w:val="en-US"/>
              </w:rPr>
              <w:t>Yes</w:t>
            </w:r>
          </w:p>
        </w:tc>
        <w:tc>
          <w:tcPr>
            <w:tcW w:w="2174" w:type="dxa"/>
          </w:tcPr>
          <w:p w14:paraId="6A4420F5" w14:textId="77777777" w:rsidR="00992B6D" w:rsidRPr="003D4922" w:rsidRDefault="00992B6D" w:rsidP="007B79C4">
            <w:pPr>
              <w:rPr>
                <w:lang w:val="en-US"/>
              </w:rPr>
            </w:pPr>
            <w:r w:rsidRPr="003D4922">
              <w:rPr>
                <w:lang w:val="en-US"/>
              </w:rPr>
              <w:t>No</w:t>
            </w:r>
          </w:p>
          <w:p w14:paraId="52B14BAB" w14:textId="77777777" w:rsidR="00992B6D" w:rsidRPr="003D4922" w:rsidRDefault="00992B6D" w:rsidP="007B79C4">
            <w:pPr>
              <w:rPr>
                <w:lang w:val="en-US"/>
              </w:rPr>
            </w:pPr>
            <w:r w:rsidRPr="003D4922">
              <w:rPr>
                <w:lang w:val="en-US"/>
              </w:rPr>
              <w:t>(Depend on the feasibility of optimized BWP switching delay with dynamic indication of subband location in time domain)</w:t>
            </w:r>
          </w:p>
        </w:tc>
      </w:tr>
      <w:tr w:rsidR="003D4922" w:rsidRPr="003D4922" w14:paraId="514605F2" w14:textId="77777777" w:rsidTr="007B79C4">
        <w:tc>
          <w:tcPr>
            <w:tcW w:w="3114" w:type="dxa"/>
          </w:tcPr>
          <w:p w14:paraId="73A37352" w14:textId="77777777" w:rsidR="00992B6D" w:rsidRPr="003D4922" w:rsidRDefault="00992B6D" w:rsidP="007B79C4">
            <w:pPr>
              <w:rPr>
                <w:lang w:val="en-US"/>
              </w:rPr>
            </w:pPr>
            <w:r w:rsidRPr="003D4922">
              <w:rPr>
                <w:lang w:val="en-US"/>
              </w:rPr>
              <w:t>Adaptation of UE digital filter BW to UL/DL subband</w:t>
            </w:r>
          </w:p>
        </w:tc>
        <w:tc>
          <w:tcPr>
            <w:tcW w:w="2173" w:type="dxa"/>
          </w:tcPr>
          <w:p w14:paraId="608C187C" w14:textId="77777777" w:rsidR="00992B6D" w:rsidRPr="003D4922" w:rsidRDefault="00992B6D" w:rsidP="007B79C4">
            <w:pPr>
              <w:rPr>
                <w:lang w:val="en-US"/>
              </w:rPr>
            </w:pPr>
            <w:r w:rsidRPr="003D4922">
              <w:rPr>
                <w:lang w:val="en-US"/>
              </w:rPr>
              <w:t xml:space="preserve">Possible </w:t>
            </w:r>
          </w:p>
          <w:p w14:paraId="79942516" w14:textId="77777777" w:rsidR="00992B6D" w:rsidRPr="003D4922" w:rsidRDefault="00992B6D" w:rsidP="007B79C4">
            <w:pPr>
              <w:rPr>
                <w:lang w:val="en-US"/>
              </w:rPr>
            </w:pPr>
            <w:r w:rsidRPr="003D4922">
              <w:rPr>
                <w:lang w:val="en-US"/>
              </w:rPr>
              <w:t xml:space="preserve">(May depend on UE capability and may only be possible for semi-static SBFD configuration in frequency and time domain) </w:t>
            </w:r>
          </w:p>
        </w:tc>
        <w:tc>
          <w:tcPr>
            <w:tcW w:w="2173" w:type="dxa"/>
          </w:tcPr>
          <w:p w14:paraId="435FA73E" w14:textId="77777777" w:rsidR="00992B6D" w:rsidRPr="003D4922" w:rsidRDefault="00992B6D" w:rsidP="007B79C4">
            <w:pPr>
              <w:rPr>
                <w:lang w:val="en-US"/>
              </w:rPr>
            </w:pPr>
            <w:r w:rsidRPr="003D4922">
              <w:rPr>
                <w:lang w:val="en-US"/>
              </w:rPr>
              <w:t xml:space="preserve">Possible </w:t>
            </w:r>
          </w:p>
        </w:tc>
        <w:tc>
          <w:tcPr>
            <w:tcW w:w="2174" w:type="dxa"/>
          </w:tcPr>
          <w:p w14:paraId="479FBEE1" w14:textId="77777777" w:rsidR="00992B6D" w:rsidRPr="003D4922" w:rsidRDefault="00992B6D" w:rsidP="007B79C4">
            <w:pPr>
              <w:rPr>
                <w:lang w:val="en-US"/>
              </w:rPr>
            </w:pPr>
            <w:r w:rsidRPr="003D4922">
              <w:rPr>
                <w:lang w:val="en-US"/>
              </w:rPr>
              <w:t>Possible</w:t>
            </w:r>
          </w:p>
          <w:p w14:paraId="566A90E8" w14:textId="77777777" w:rsidR="00992B6D" w:rsidRPr="003D4922" w:rsidRDefault="00992B6D" w:rsidP="007B79C4">
            <w:pPr>
              <w:rPr>
                <w:lang w:val="en-US"/>
              </w:rPr>
            </w:pPr>
            <w:r w:rsidRPr="003D4922">
              <w:rPr>
                <w:lang w:val="en-US"/>
              </w:rPr>
              <w:t>(May depend on UE capability and may only be possible for semi-static SBFD configuration in frequency and time domain)</w:t>
            </w:r>
          </w:p>
        </w:tc>
      </w:tr>
    </w:tbl>
    <w:p w14:paraId="065F03D0" w14:textId="005EF04B" w:rsidR="00992B6D" w:rsidRPr="003D4922" w:rsidRDefault="00992B6D" w:rsidP="00992B6D">
      <w:pPr>
        <w:spacing w:before="120"/>
        <w:rPr>
          <w:lang w:val="en-US"/>
        </w:rPr>
      </w:pPr>
      <w:r w:rsidRPr="003D4922">
        <w:rPr>
          <w:lang w:val="en-US"/>
        </w:rPr>
        <w:t>Based on the above analysis and on the summary in</w:t>
      </w:r>
      <w:r w:rsidR="00C53E69">
        <w:rPr>
          <w:lang w:val="en-US"/>
        </w:rPr>
        <w:t xml:space="preserve"> </w:t>
      </w:r>
      <w:r w:rsidRPr="003D4922">
        <w:rPr>
          <w:lang w:val="en-US"/>
        </w:rPr>
        <w:fldChar w:fldCharType="begin"/>
      </w:r>
      <w:r w:rsidRPr="003D4922">
        <w:rPr>
          <w:lang w:val="en-US"/>
        </w:rPr>
        <w:instrText xml:space="preserve"> REF _Ref112676041 \h  \* MERGEFORMAT </w:instrText>
      </w:r>
      <w:r w:rsidRPr="003D4922">
        <w:rPr>
          <w:lang w:val="en-US"/>
        </w:rPr>
      </w:r>
      <w:r w:rsidRPr="003D4922">
        <w:rPr>
          <w:lang w:val="en-US"/>
        </w:rPr>
        <w:fldChar w:fldCharType="separate"/>
      </w:r>
      <w:r w:rsidR="00C15552" w:rsidRPr="003D4922">
        <w:rPr>
          <w:b/>
          <w:bCs/>
          <w:i/>
          <w:lang w:val="en-US"/>
        </w:rPr>
        <w:t xml:space="preserve">Table </w:t>
      </w:r>
      <w:r w:rsidR="00C15552">
        <w:rPr>
          <w:b/>
          <w:bCs/>
          <w:i/>
          <w:noProof/>
          <w:lang w:val="en-US"/>
        </w:rPr>
        <w:t>1</w:t>
      </w:r>
      <w:r w:rsidRPr="003D4922">
        <w:rPr>
          <w:lang w:val="en-US"/>
        </w:rPr>
        <w:fldChar w:fldCharType="end"/>
      </w:r>
      <w:r w:rsidRPr="003D4922">
        <w:rPr>
          <w:lang w:val="en-US"/>
        </w:rPr>
        <w:t>, we conclude that:</w:t>
      </w:r>
    </w:p>
    <w:p w14:paraId="0621EF73" w14:textId="4537B3CE" w:rsidR="00992B6D" w:rsidRPr="003D4922" w:rsidRDefault="00992B6D">
      <w:pPr>
        <w:pStyle w:val="ListParagraph"/>
        <w:numPr>
          <w:ilvl w:val="0"/>
          <w:numId w:val="23"/>
        </w:numPr>
        <w:shd w:val="clear" w:color="auto" w:fill="FFFFFF" w:themeFill="background1"/>
        <w:spacing w:before="120" w:after="120"/>
        <w:jc w:val="both"/>
        <w:rPr>
          <w:sz w:val="20"/>
          <w:szCs w:val="20"/>
          <w:lang w:val="en-US"/>
        </w:rPr>
      </w:pPr>
      <w:r w:rsidRPr="003D4922">
        <w:rPr>
          <w:sz w:val="20"/>
          <w:szCs w:val="20"/>
          <w:lang w:val="en-US"/>
        </w:rPr>
        <w:t xml:space="preserve">The </w:t>
      </w:r>
      <w:r w:rsidR="003948EC">
        <w:rPr>
          <w:sz w:val="20"/>
          <w:szCs w:val="20"/>
          <w:lang w:val="en-US"/>
        </w:rPr>
        <w:t>basic</w:t>
      </w:r>
      <w:r w:rsidRPr="003D4922">
        <w:rPr>
          <w:sz w:val="20"/>
          <w:szCs w:val="20"/>
          <w:lang w:val="en-US"/>
        </w:rPr>
        <w:t xml:space="preserve"> BWP based scheme is the most straightforward from standard specification perspective but may have significant limitations in terms of UE peak data rate and signaling overhead (one SSB per subband). The </w:t>
      </w:r>
      <w:r w:rsidR="003948EC">
        <w:rPr>
          <w:sz w:val="20"/>
          <w:szCs w:val="20"/>
          <w:lang w:val="en-US"/>
        </w:rPr>
        <w:t>basic</w:t>
      </w:r>
      <w:r w:rsidRPr="003D4922">
        <w:rPr>
          <w:sz w:val="20"/>
          <w:szCs w:val="20"/>
          <w:lang w:val="en-US"/>
        </w:rPr>
        <w:t xml:space="preserve"> BWP based scheme does not require support of DL and UL BWP pair with unaligned center frequencies, though some enhancements to BWP framework may be needed to </w:t>
      </w:r>
      <w:proofErr w:type="gramStart"/>
      <w:r w:rsidRPr="003D4922">
        <w:rPr>
          <w:sz w:val="20"/>
          <w:szCs w:val="20"/>
          <w:lang w:val="en-US"/>
        </w:rPr>
        <w:t>e.g.</w:t>
      </w:r>
      <w:proofErr w:type="gramEnd"/>
      <w:r w:rsidRPr="003D4922">
        <w:rPr>
          <w:sz w:val="20"/>
          <w:szCs w:val="20"/>
          <w:lang w:val="en-US"/>
        </w:rPr>
        <w:t xml:space="preserve"> configure a (DL) BWP consisting of at least two non-adjacent RB sets (</w:t>
      </w:r>
      <w:r w:rsidR="00BE7D74" w:rsidRPr="003D4922">
        <w:rPr>
          <w:sz w:val="20"/>
          <w:szCs w:val="20"/>
          <w:lang w:val="en-US"/>
        </w:rPr>
        <w:t xml:space="preserve">e.g. for </w:t>
      </w:r>
      <w:r w:rsidRPr="003D4922">
        <w:rPr>
          <w:sz w:val="20"/>
          <w:szCs w:val="20"/>
          <w:lang w:val="en-US"/>
        </w:rPr>
        <w:t>D-U-D SBFD configuration).</w:t>
      </w:r>
    </w:p>
    <w:p w14:paraId="5EEBBAAF" w14:textId="46881151" w:rsidR="00992B6D" w:rsidRPr="003D4922" w:rsidRDefault="00992B6D">
      <w:pPr>
        <w:pStyle w:val="ListParagraph"/>
        <w:numPr>
          <w:ilvl w:val="0"/>
          <w:numId w:val="22"/>
        </w:numPr>
        <w:shd w:val="clear" w:color="auto" w:fill="FFFFFF" w:themeFill="background1"/>
        <w:spacing w:before="120" w:after="120"/>
        <w:ind w:left="714" w:hanging="357"/>
        <w:jc w:val="both"/>
        <w:rPr>
          <w:sz w:val="20"/>
          <w:szCs w:val="20"/>
          <w:lang w:val="en-US"/>
        </w:rPr>
      </w:pPr>
      <w:r w:rsidRPr="003D4922">
        <w:rPr>
          <w:sz w:val="20"/>
          <w:szCs w:val="20"/>
          <w:lang w:val="en-US"/>
        </w:rPr>
        <w:t xml:space="preserve">Both the advanced BWP </w:t>
      </w:r>
      <w:proofErr w:type="gramStart"/>
      <w:r w:rsidRPr="003D4922">
        <w:rPr>
          <w:sz w:val="20"/>
          <w:szCs w:val="20"/>
          <w:lang w:val="en-US"/>
        </w:rPr>
        <w:t>based</w:t>
      </w:r>
      <w:proofErr w:type="gramEnd"/>
      <w:r w:rsidRPr="003D4922">
        <w:rPr>
          <w:sz w:val="20"/>
          <w:szCs w:val="20"/>
          <w:lang w:val="en-US"/>
        </w:rPr>
        <w:t xml:space="preserve"> and the RB-set based schemes have some standardization impact. Both schemes require specification of new UE behavior for handling UL/DL collision in SBFD slots. The advanced BWP-based scheme also requires enhancements/modifications to the Rel-15 BWP framework to enable e.g.: (1) semi-static BWP switching between two BWP pairs; (2) configuration of a BWP pair with unaligned center frequencies for UL and DL BWP (needed to support “non-symmetric” SBFD configurations, i.e. D-U and U-D); (3) configuration of a (DL) BWP consisting of at least two non-adjacent RB sets. The BWP-based scheme may also require specification of new BWP switching (delay and gaps) requirements.</w:t>
      </w:r>
    </w:p>
    <w:p w14:paraId="1465B65A" w14:textId="21E9DA96" w:rsidR="00992B6D" w:rsidRPr="003D4922" w:rsidRDefault="00992B6D">
      <w:pPr>
        <w:pStyle w:val="ListParagraph"/>
        <w:numPr>
          <w:ilvl w:val="0"/>
          <w:numId w:val="22"/>
        </w:numPr>
        <w:shd w:val="clear" w:color="auto" w:fill="FFFFFF" w:themeFill="background1"/>
        <w:spacing w:before="120" w:after="120"/>
        <w:ind w:left="714" w:hanging="357"/>
        <w:jc w:val="both"/>
        <w:rPr>
          <w:sz w:val="20"/>
          <w:szCs w:val="20"/>
          <w:lang w:val="en-US"/>
        </w:rPr>
      </w:pPr>
      <w:r w:rsidRPr="003D4922">
        <w:rPr>
          <w:sz w:val="20"/>
          <w:szCs w:val="20"/>
          <w:lang w:val="en-US"/>
        </w:rPr>
        <w:t>The RB-set based scheme may require additional standardization work to determine the validity of semi-statically allocated resources (and/or their adaptation to the available UL/DL frequency resources) in SBFD slots/symbols, at least if dynamic indication of subband location in time domain is supported</w:t>
      </w:r>
      <w:r w:rsidR="00BE7D74" w:rsidRPr="003D4922">
        <w:rPr>
          <w:sz w:val="20"/>
          <w:szCs w:val="20"/>
          <w:lang w:val="en-US"/>
        </w:rPr>
        <w:t>.</w:t>
      </w:r>
    </w:p>
    <w:p w14:paraId="1D1147F4" w14:textId="77777777" w:rsidR="00992B6D" w:rsidRPr="003D4922" w:rsidRDefault="00992B6D">
      <w:pPr>
        <w:pStyle w:val="ListParagraph"/>
        <w:numPr>
          <w:ilvl w:val="0"/>
          <w:numId w:val="22"/>
        </w:numPr>
        <w:shd w:val="clear" w:color="auto" w:fill="FFFFFF" w:themeFill="background1"/>
        <w:spacing w:before="120" w:after="120"/>
        <w:ind w:left="714" w:hanging="357"/>
        <w:jc w:val="both"/>
        <w:rPr>
          <w:sz w:val="20"/>
          <w:szCs w:val="20"/>
          <w:lang w:val="en-US"/>
        </w:rPr>
      </w:pPr>
      <w:r w:rsidRPr="003D4922">
        <w:rPr>
          <w:sz w:val="20"/>
          <w:szCs w:val="20"/>
          <w:lang w:val="en-US"/>
        </w:rPr>
        <w:t xml:space="preserve">All options may support reduced UE-2-UE inter-subband CLI depending on the UE capability to adapt its digital filter BW to the UL/DL subband or BWP. </w:t>
      </w:r>
    </w:p>
    <w:p w14:paraId="22308640" w14:textId="735F2A02" w:rsidR="006157BE" w:rsidRPr="006157BE" w:rsidRDefault="006157BE" w:rsidP="00992B6D">
      <w:pPr>
        <w:spacing w:after="120"/>
        <w:jc w:val="both"/>
        <w:rPr>
          <w:lang w:val="en-US"/>
        </w:rPr>
      </w:pPr>
      <w:r w:rsidRPr="006157BE">
        <w:rPr>
          <w:lang w:val="en-US"/>
        </w:rPr>
        <w:t xml:space="preserve">Based on the observations and summary above, we propose: </w:t>
      </w:r>
    </w:p>
    <w:p w14:paraId="3B022A64" w14:textId="3806F484" w:rsidR="00992B6D" w:rsidRPr="006157BE" w:rsidRDefault="00992B6D">
      <w:pPr>
        <w:pStyle w:val="Proposal"/>
      </w:pPr>
      <w:r w:rsidRPr="006157BE">
        <w:t xml:space="preserve"> </w:t>
      </w:r>
      <w:bookmarkStart w:id="627" w:name="_Toc142394807"/>
      <w:bookmarkStart w:id="628" w:name="_Toc142394899"/>
      <w:bookmarkStart w:id="629" w:name="_Toc142397646"/>
      <w:bookmarkStart w:id="630" w:name="_Toc142397744"/>
      <w:bookmarkStart w:id="631" w:name="_Toc142397951"/>
      <w:bookmarkStart w:id="632" w:name="_Toc142399677"/>
      <w:bookmarkStart w:id="633" w:name="_Toc142400763"/>
      <w:bookmarkStart w:id="634" w:name="_Toc142400862"/>
      <w:bookmarkStart w:id="635" w:name="_Toc142400960"/>
      <w:bookmarkStart w:id="636" w:name="_Toc142401070"/>
      <w:bookmarkStart w:id="637" w:name="_Toc142401243"/>
      <w:bookmarkStart w:id="638" w:name="_Toc142466587"/>
      <w:bookmarkStart w:id="639" w:name="_Toc142481206"/>
      <w:bookmarkStart w:id="640" w:name="_Toc142482020"/>
      <w:r w:rsidR="00256E74" w:rsidRPr="006157BE">
        <w:t xml:space="preserve">Assume </w:t>
      </w:r>
      <w:r w:rsidRPr="006157BE">
        <w:t xml:space="preserve">RB-set based scheme </w:t>
      </w:r>
      <w:r w:rsidR="002D5632">
        <w:t xml:space="preserve">as </w:t>
      </w:r>
      <w:r w:rsidR="00256E74" w:rsidRPr="006157BE">
        <w:t xml:space="preserve">the </w:t>
      </w:r>
      <w:r w:rsidRPr="006157BE">
        <w:t xml:space="preserve">baseline. </w:t>
      </w:r>
      <w:r w:rsidR="004E03AD" w:rsidRPr="006157BE">
        <w:t xml:space="preserve">With the RB-set based scheme, a </w:t>
      </w:r>
      <w:r w:rsidR="00FC43E7" w:rsidRPr="006157BE">
        <w:t xml:space="preserve">UE’s active BWP may include PRBs that are used by the serving cell for </w:t>
      </w:r>
      <w:r w:rsidR="004E03AD" w:rsidRPr="006157BE">
        <w:t xml:space="preserve">the </w:t>
      </w:r>
      <w:r w:rsidR="00FC43E7" w:rsidRPr="006157BE">
        <w:t xml:space="preserve">opposite </w:t>
      </w:r>
      <w:r w:rsidR="004E03AD" w:rsidRPr="006157BE">
        <w:t xml:space="preserve">link </w:t>
      </w:r>
      <w:r w:rsidR="00FC43E7" w:rsidRPr="006157BE">
        <w:t>direction</w:t>
      </w:r>
      <w:r w:rsidR="004E03AD" w:rsidRPr="006157BE">
        <w:t>.</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sidR="004E03AD" w:rsidRPr="006157BE">
        <w:t xml:space="preserve"> </w:t>
      </w:r>
    </w:p>
    <w:p w14:paraId="5D21147F" w14:textId="30DF8C34" w:rsidR="00992B6D" w:rsidRPr="003D4922" w:rsidRDefault="00992B6D" w:rsidP="00992B6D">
      <w:pPr>
        <w:spacing w:after="120"/>
        <w:jc w:val="both"/>
        <w:rPr>
          <w:b/>
          <w:bCs/>
          <w:i/>
          <w:iCs/>
          <w:lang w:val="en-US"/>
        </w:rPr>
      </w:pPr>
      <w:r w:rsidRPr="003D4922">
        <w:rPr>
          <w:lang w:val="en-US"/>
        </w:rPr>
        <w:t xml:space="preserve">It should be noted that even assuming RB-set based SBFD configuration, it should still be possible to configure a UE with a BWP </w:t>
      </w:r>
      <w:r w:rsidR="00112AD4" w:rsidRPr="003D4922">
        <w:rPr>
          <w:lang w:val="en-US"/>
        </w:rPr>
        <w:t xml:space="preserve">confined within a set </w:t>
      </w:r>
      <w:r w:rsidR="00712CEE">
        <w:rPr>
          <w:lang w:val="en-US"/>
        </w:rPr>
        <w:t>o</w:t>
      </w:r>
      <w:r w:rsidR="00112AD4" w:rsidRPr="003D4922">
        <w:rPr>
          <w:lang w:val="en-US"/>
        </w:rPr>
        <w:t xml:space="preserve">f PRBs where the </w:t>
      </w:r>
      <w:r w:rsidRPr="003D4922">
        <w:rPr>
          <w:lang w:val="en-US"/>
        </w:rPr>
        <w:t>UE may only see one link direction per symbol within the BWP.</w:t>
      </w:r>
      <w:r w:rsidR="00112AD4" w:rsidRPr="003D4922">
        <w:rPr>
          <w:lang w:val="en-US"/>
        </w:rPr>
        <w:t xml:space="preserve"> In other words, </w:t>
      </w:r>
      <w:r w:rsidR="00F71C1E" w:rsidRPr="003D4922">
        <w:rPr>
          <w:lang w:val="en-US"/>
        </w:rPr>
        <w:t>operation</w:t>
      </w:r>
      <w:r w:rsidR="00112AD4" w:rsidRPr="003D4922">
        <w:rPr>
          <w:lang w:val="en-US"/>
        </w:rPr>
        <w:t xml:space="preserve"> </w:t>
      </w:r>
      <w:r w:rsidR="00F71C1E" w:rsidRPr="003D4922">
        <w:rPr>
          <w:lang w:val="en-US"/>
        </w:rPr>
        <w:t>according</w:t>
      </w:r>
      <w:r w:rsidR="00112AD4" w:rsidRPr="003D4922">
        <w:rPr>
          <w:lang w:val="en-US"/>
        </w:rPr>
        <w:t xml:space="preserve"> to the </w:t>
      </w:r>
      <w:r w:rsidR="00A766B5">
        <w:rPr>
          <w:lang w:val="en-US"/>
        </w:rPr>
        <w:t>basic</w:t>
      </w:r>
      <w:r w:rsidR="00A766B5" w:rsidRPr="003D4922">
        <w:rPr>
          <w:lang w:val="en-US"/>
        </w:rPr>
        <w:t xml:space="preserve"> </w:t>
      </w:r>
      <w:r w:rsidR="00112AD4" w:rsidRPr="003D4922">
        <w:rPr>
          <w:lang w:val="en-US"/>
        </w:rPr>
        <w:t>BWP based scheme</w:t>
      </w:r>
      <w:r w:rsidR="006157BE">
        <w:rPr>
          <w:lang w:val="en-US"/>
        </w:rPr>
        <w:t xml:space="preserve"> </w:t>
      </w:r>
      <w:r w:rsidR="00112AD4" w:rsidRPr="003D4922">
        <w:rPr>
          <w:lang w:val="en-US"/>
        </w:rPr>
        <w:t xml:space="preserve">is not precluded </w:t>
      </w:r>
      <w:r w:rsidR="00F71C1E" w:rsidRPr="003D4922">
        <w:rPr>
          <w:lang w:val="en-US"/>
        </w:rPr>
        <w:t xml:space="preserve">by RB set based signaling. </w:t>
      </w:r>
      <w:r w:rsidRPr="003D4922">
        <w:rPr>
          <w:lang w:val="en-US"/>
        </w:rPr>
        <w:t xml:space="preserve"> </w:t>
      </w:r>
    </w:p>
    <w:p w14:paraId="591C21A1" w14:textId="298C8FA5" w:rsidR="00992B6D" w:rsidRDefault="00992B6D">
      <w:pPr>
        <w:pStyle w:val="Observation"/>
      </w:pPr>
      <w:bookmarkStart w:id="641" w:name="_Toc142394808"/>
      <w:bookmarkStart w:id="642" w:name="_Toc142394900"/>
      <w:bookmarkStart w:id="643" w:name="_Toc142397647"/>
      <w:bookmarkStart w:id="644" w:name="_Toc142397745"/>
      <w:bookmarkStart w:id="645" w:name="_Toc142397952"/>
      <w:bookmarkStart w:id="646" w:name="_Toc142399678"/>
      <w:bookmarkStart w:id="647" w:name="_Toc142400764"/>
      <w:bookmarkStart w:id="648" w:name="_Toc142400863"/>
      <w:bookmarkStart w:id="649" w:name="_Toc142400961"/>
      <w:bookmarkStart w:id="650" w:name="_Toc142401071"/>
      <w:bookmarkStart w:id="651" w:name="_Toc142401244"/>
      <w:bookmarkStart w:id="652" w:name="_Toc142466588"/>
      <w:bookmarkStart w:id="653" w:name="_Toc142481207"/>
      <w:bookmarkStart w:id="654" w:name="_Toc142482021"/>
      <w:bookmarkStart w:id="655" w:name="_Hlk134976029"/>
      <w:r w:rsidRPr="003D4922">
        <w:t xml:space="preserve">Operation according to the </w:t>
      </w:r>
      <w:r w:rsidR="00A766B5">
        <w:t>basic</w:t>
      </w:r>
      <w:r w:rsidR="00A766B5" w:rsidRPr="003D4922">
        <w:t xml:space="preserve"> </w:t>
      </w:r>
      <w:r w:rsidRPr="003D4922">
        <w:t xml:space="preserve">BWP based scheme is </w:t>
      </w:r>
      <w:r w:rsidR="00F71C1E" w:rsidRPr="003D4922">
        <w:t xml:space="preserve">not precluded </w:t>
      </w:r>
      <w:r w:rsidR="00256E74" w:rsidRPr="003D4922">
        <w:t xml:space="preserve">by </w:t>
      </w:r>
      <w:r w:rsidRPr="003D4922">
        <w:t>RB-set based signaling.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bookmarkEnd w:id="655"/>
    <w:p w14:paraId="3588B14F" w14:textId="23C046F8" w:rsidR="009F072F" w:rsidRDefault="009F072F" w:rsidP="001C18DB">
      <w:pPr>
        <w:pStyle w:val="Proposal"/>
        <w:numPr>
          <w:ilvl w:val="0"/>
          <w:numId w:val="0"/>
        </w:numPr>
      </w:pPr>
    </w:p>
    <w:p w14:paraId="31C6BF2E" w14:textId="49AEE7D3" w:rsidR="00DA2251" w:rsidRDefault="00DA2251" w:rsidP="005D3542">
      <w:pPr>
        <w:pStyle w:val="Heading3"/>
        <w:jc w:val="both"/>
        <w:rPr>
          <w:lang w:val="en-US"/>
        </w:rPr>
      </w:pPr>
      <w:r>
        <w:rPr>
          <w:lang w:val="en-US"/>
        </w:rPr>
        <w:t>Initial Access</w:t>
      </w:r>
    </w:p>
    <w:p w14:paraId="3A6A2D49" w14:textId="5BBF76D5" w:rsidR="00DA2ED0" w:rsidRDefault="00EE6CC6" w:rsidP="00BB75A1">
      <w:pPr>
        <w:spacing w:after="120"/>
        <w:jc w:val="both"/>
        <w:rPr>
          <w:lang w:val="en-US"/>
        </w:rPr>
      </w:pPr>
      <w:r w:rsidRPr="00145CBB">
        <w:rPr>
          <w:lang w:val="en-US"/>
        </w:rPr>
        <w:t xml:space="preserve">Support of initial access in UL subband </w:t>
      </w:r>
      <w:r w:rsidR="005C2861">
        <w:rPr>
          <w:lang w:val="en-US"/>
        </w:rPr>
        <w:t>has been</w:t>
      </w:r>
      <w:r w:rsidRPr="00145CBB">
        <w:rPr>
          <w:lang w:val="en-US"/>
        </w:rPr>
        <w:t xml:space="preserve"> discussed in </w:t>
      </w:r>
      <w:r w:rsidRPr="00145CBB">
        <w:rPr>
          <w:lang w:val="en-US" w:eastAsia="zh-CN"/>
        </w:rPr>
        <w:t xml:space="preserve">RAN1 </w:t>
      </w:r>
      <w:r w:rsidR="00BC660F">
        <w:rPr>
          <w:lang w:val="en-US" w:eastAsia="zh-CN"/>
        </w:rPr>
        <w:t>since the beginning of the SI. N</w:t>
      </w:r>
      <w:r w:rsidRPr="00145CBB">
        <w:rPr>
          <w:lang w:val="en-US" w:eastAsia="zh-CN"/>
        </w:rPr>
        <w:t xml:space="preserve">o agreement </w:t>
      </w:r>
      <w:r w:rsidR="00BC660F">
        <w:rPr>
          <w:lang w:val="en-US" w:eastAsia="zh-CN"/>
        </w:rPr>
        <w:t xml:space="preserve">has been </w:t>
      </w:r>
      <w:r w:rsidRPr="00145CBB">
        <w:rPr>
          <w:lang w:val="en-US" w:eastAsia="zh-CN"/>
        </w:rPr>
        <w:t xml:space="preserve">reached </w:t>
      </w:r>
      <w:r w:rsidR="00BC660F">
        <w:rPr>
          <w:lang w:val="en-US" w:eastAsia="zh-CN"/>
        </w:rPr>
        <w:t>so far</w:t>
      </w:r>
      <w:r w:rsidR="00C33EAA">
        <w:rPr>
          <w:lang w:val="en-US" w:eastAsia="zh-CN"/>
        </w:rPr>
        <w:t xml:space="preserve">, </w:t>
      </w:r>
      <w:r w:rsidRPr="00145CBB">
        <w:rPr>
          <w:lang w:val="en-US" w:eastAsia="zh-CN"/>
        </w:rPr>
        <w:t xml:space="preserve">despite most of the companies </w:t>
      </w:r>
      <w:r w:rsidR="00104E94">
        <w:rPr>
          <w:lang w:val="en-US" w:eastAsia="zh-CN"/>
        </w:rPr>
        <w:t>are</w:t>
      </w:r>
      <w:r w:rsidRPr="00145CBB">
        <w:rPr>
          <w:lang w:val="en-US" w:eastAsia="zh-CN"/>
        </w:rPr>
        <w:t xml:space="preserve"> in </w:t>
      </w:r>
      <w:r w:rsidR="00323C82" w:rsidRPr="00145CBB">
        <w:rPr>
          <w:lang w:val="en-US" w:eastAsia="zh-CN"/>
        </w:rPr>
        <w:t>favor</w:t>
      </w:r>
      <w:r w:rsidRPr="00145CBB">
        <w:rPr>
          <w:lang w:val="en-US" w:eastAsia="zh-CN"/>
        </w:rPr>
        <w:t xml:space="preserve"> of </w:t>
      </w:r>
      <w:r>
        <w:rPr>
          <w:lang w:val="en-US" w:eastAsia="zh-CN"/>
        </w:rPr>
        <w:t>studying</w:t>
      </w:r>
      <w:r w:rsidRPr="00145CBB">
        <w:rPr>
          <w:lang w:val="en-US" w:eastAsia="zh-CN"/>
        </w:rPr>
        <w:t xml:space="preserve"> </w:t>
      </w:r>
      <w:r w:rsidR="00323C82">
        <w:rPr>
          <w:lang w:val="en-US" w:eastAsia="zh-CN"/>
        </w:rPr>
        <w:t xml:space="preserve">potential benefits and enhancements for </w:t>
      </w:r>
      <w:r w:rsidRPr="00145CBB">
        <w:rPr>
          <w:lang w:val="en-US"/>
        </w:rPr>
        <w:t xml:space="preserve">initial access in UL subband. </w:t>
      </w:r>
    </w:p>
    <w:p w14:paraId="41845F57" w14:textId="6F683B23" w:rsidR="006545C7" w:rsidRDefault="00DA2ED0" w:rsidP="006545C7">
      <w:pPr>
        <w:spacing w:after="120"/>
        <w:jc w:val="both"/>
        <w:rPr>
          <w:lang w:val="en-US"/>
        </w:rPr>
      </w:pPr>
      <w:r>
        <w:rPr>
          <w:lang w:val="en-US"/>
        </w:rPr>
        <w:t xml:space="preserve">One example </w:t>
      </w:r>
      <w:r w:rsidR="00177D3E">
        <w:rPr>
          <w:lang w:val="en-US"/>
        </w:rPr>
        <w:t xml:space="preserve">in which both legacy and SBFD UEs are configured with the same PRACH configuration index </w:t>
      </w:r>
      <w:r>
        <w:rPr>
          <w:lang w:val="en-US"/>
        </w:rPr>
        <w:t xml:space="preserve">is shown in </w:t>
      </w:r>
      <w:r w:rsidR="00315645">
        <w:rPr>
          <w:lang w:val="en-US"/>
        </w:rPr>
        <w:fldChar w:fldCharType="begin"/>
      </w:r>
      <w:r w:rsidR="00315645">
        <w:rPr>
          <w:lang w:val="en-US"/>
        </w:rPr>
        <w:instrText xml:space="preserve"> REF _Ref130807211 \h </w:instrText>
      </w:r>
      <w:r w:rsidR="00315645">
        <w:rPr>
          <w:lang w:val="en-US"/>
        </w:rPr>
      </w:r>
      <w:r w:rsidR="00315645">
        <w:rPr>
          <w:lang w:val="en-US"/>
        </w:rPr>
        <w:fldChar w:fldCharType="separate"/>
      </w:r>
      <w:r w:rsidR="00C974C2">
        <w:t xml:space="preserve">Figure </w:t>
      </w:r>
      <w:r w:rsidR="00315645">
        <w:rPr>
          <w:lang w:val="en-US"/>
        </w:rPr>
        <w:fldChar w:fldCharType="end"/>
      </w:r>
      <w:r w:rsidR="00491A41">
        <w:rPr>
          <w:lang w:val="en-US"/>
        </w:rPr>
        <w:t xml:space="preserve">, in which </w:t>
      </w:r>
      <w:r w:rsidR="003867EE">
        <w:rPr>
          <w:lang w:val="en-US"/>
        </w:rPr>
        <w:t xml:space="preserve">an </w:t>
      </w:r>
      <w:r w:rsidR="00491A41">
        <w:rPr>
          <w:lang w:val="en-US"/>
        </w:rPr>
        <w:t>initial access timeline</w:t>
      </w:r>
      <w:r w:rsidR="00130CD7">
        <w:rPr>
          <w:lang w:val="en-US"/>
        </w:rPr>
        <w:t xml:space="preserve"> is shown</w:t>
      </w:r>
      <w:r w:rsidR="00491A41">
        <w:rPr>
          <w:lang w:val="en-US"/>
        </w:rPr>
        <w:t>, in 4-step RACH for an SBFD UE</w:t>
      </w:r>
      <w:r w:rsidR="005C1039">
        <w:rPr>
          <w:lang w:val="en-US"/>
        </w:rPr>
        <w:t xml:space="preserve"> (timeline in blue)</w:t>
      </w:r>
      <w:r w:rsidR="00491A41">
        <w:rPr>
          <w:lang w:val="en-US"/>
        </w:rPr>
        <w:t xml:space="preserve"> and a legacy UE</w:t>
      </w:r>
      <w:r w:rsidR="005C1039">
        <w:rPr>
          <w:lang w:val="en-US"/>
        </w:rPr>
        <w:t xml:space="preserve"> (timeline in orange)</w:t>
      </w:r>
      <w:r w:rsidR="00491A41">
        <w:rPr>
          <w:lang w:val="en-US"/>
        </w:rPr>
        <w:t xml:space="preserve">. In this example, we show a DL heavy </w:t>
      </w:r>
      <w:r w:rsidR="00DA19DB">
        <w:rPr>
          <w:lang w:val="en-US"/>
        </w:rPr>
        <w:t xml:space="preserve">frame configuration. We assume that both UEs </w:t>
      </w:r>
      <w:r w:rsidR="0028717C">
        <w:rPr>
          <w:lang w:val="en-US"/>
        </w:rPr>
        <w:t>are ready to transmit PRACH</w:t>
      </w:r>
      <w:r w:rsidR="00DA19DB">
        <w:rPr>
          <w:lang w:val="en-US"/>
        </w:rPr>
        <w:t xml:space="preserve"> by subframe 0 in the first frame</w:t>
      </w:r>
      <w:r w:rsidR="00A06FCD">
        <w:rPr>
          <w:lang w:val="en-US"/>
        </w:rPr>
        <w:t>.</w:t>
      </w:r>
      <w:r w:rsidR="008F56DA">
        <w:rPr>
          <w:lang w:val="en-US"/>
        </w:rPr>
        <w:t xml:space="preserve"> For simplicity in the </w:t>
      </w:r>
      <w:r w:rsidR="00493811">
        <w:rPr>
          <w:lang w:val="en-US"/>
        </w:rPr>
        <w:t>figure</w:t>
      </w:r>
      <w:r w:rsidR="008F56DA">
        <w:rPr>
          <w:lang w:val="en-US"/>
        </w:rPr>
        <w:t xml:space="preserve">, </w:t>
      </w:r>
      <w:r w:rsidR="005C1039">
        <w:rPr>
          <w:lang w:val="en-US"/>
        </w:rPr>
        <w:t xml:space="preserve">all processing delays are equal to </w:t>
      </w:r>
      <w:r w:rsidR="00B40D2A">
        <w:rPr>
          <w:lang w:val="en-US"/>
        </w:rPr>
        <w:t>3</w:t>
      </w:r>
      <w:r w:rsidR="005C1039">
        <w:rPr>
          <w:lang w:val="en-US"/>
        </w:rPr>
        <w:t xml:space="preserve"> slot</w:t>
      </w:r>
      <w:r w:rsidR="00B40D2A">
        <w:rPr>
          <w:lang w:val="en-US"/>
        </w:rPr>
        <w:t>s</w:t>
      </w:r>
      <w:r w:rsidR="008F56DA">
        <w:rPr>
          <w:lang w:val="en-US"/>
        </w:rPr>
        <w:t>.</w:t>
      </w:r>
      <w:r w:rsidR="006545C7">
        <w:rPr>
          <w:lang w:val="en-US"/>
        </w:rPr>
        <w:t xml:space="preserve"> </w:t>
      </w:r>
      <w:r w:rsidR="005C1039">
        <w:rPr>
          <w:lang w:val="en-US"/>
        </w:rPr>
        <w:t>RACH occasions</w:t>
      </w:r>
      <w:r w:rsidR="008F56DA">
        <w:rPr>
          <w:lang w:val="en-US"/>
        </w:rPr>
        <w:t xml:space="preserve"> are available in subframes </w:t>
      </w:r>
      <w:r w:rsidR="00493811">
        <w:rPr>
          <w:lang w:val="en-US"/>
        </w:rPr>
        <w:t>1,3,5,7,9</w:t>
      </w:r>
      <w:r w:rsidR="009B4E78">
        <w:rPr>
          <w:lang w:val="en-US"/>
        </w:rPr>
        <w:t>.</w:t>
      </w:r>
      <w:r w:rsidR="00A06FCD">
        <w:rPr>
          <w:lang w:val="en-US"/>
        </w:rPr>
        <w:t xml:space="preserve"> </w:t>
      </w:r>
      <w:r w:rsidR="00A06FCD" w:rsidRPr="00AE295E">
        <w:rPr>
          <w:lang w:val="en-US"/>
        </w:rPr>
        <w:t>In this example, 30 kHz SCS is assumed.</w:t>
      </w:r>
      <w:r w:rsidR="003867EE">
        <w:rPr>
          <w:lang w:val="en-US"/>
        </w:rPr>
        <w:t xml:space="preserve"> We assume </w:t>
      </w:r>
      <w:r w:rsidR="00CC3690">
        <w:rPr>
          <w:lang w:val="en-US"/>
        </w:rPr>
        <w:t xml:space="preserve">PRACH configuration index </w:t>
      </w:r>
      <w:r w:rsidR="000A4323">
        <w:rPr>
          <w:lang w:val="en-US"/>
        </w:rPr>
        <w:t>108</w:t>
      </w:r>
      <w:r w:rsidR="000D63E6">
        <w:rPr>
          <w:lang w:val="en-US"/>
        </w:rPr>
        <w:t xml:space="preserve">, in which </w:t>
      </w:r>
      <w:r w:rsidR="007F0163">
        <w:rPr>
          <w:lang w:val="en-US"/>
        </w:rPr>
        <w:t>one PRAC</w:t>
      </w:r>
      <w:r w:rsidR="00C26C63">
        <w:rPr>
          <w:lang w:val="en-US"/>
        </w:rPr>
        <w:t>H</w:t>
      </w:r>
      <w:r w:rsidR="007F0163">
        <w:rPr>
          <w:lang w:val="en-US"/>
        </w:rPr>
        <w:t xml:space="preserve"> slot is available in the subframe</w:t>
      </w:r>
      <w:r w:rsidR="00667B08">
        <w:rPr>
          <w:lang w:val="en-US"/>
        </w:rPr>
        <w:t>.</w:t>
      </w:r>
      <w:r w:rsidR="00CC3690">
        <w:rPr>
          <w:lang w:val="en-US"/>
        </w:rPr>
        <w:t xml:space="preserve"> </w:t>
      </w:r>
    </w:p>
    <w:p w14:paraId="14FA0780" w14:textId="7B6D0E3F" w:rsidR="00DA2ED0" w:rsidRPr="001C18DB" w:rsidRDefault="00166D74">
      <w:pPr>
        <w:pStyle w:val="ListParagraph"/>
        <w:numPr>
          <w:ilvl w:val="0"/>
          <w:numId w:val="22"/>
        </w:numPr>
        <w:spacing w:after="120"/>
        <w:jc w:val="both"/>
        <w:rPr>
          <w:sz w:val="20"/>
          <w:szCs w:val="20"/>
          <w:lang w:val="en-US"/>
        </w:rPr>
      </w:pPr>
      <w:r w:rsidRPr="001C18DB">
        <w:rPr>
          <w:sz w:val="20"/>
          <w:szCs w:val="20"/>
          <w:lang w:val="en-US"/>
        </w:rPr>
        <w:t>Msg 1 is sent in the first available RO</w:t>
      </w:r>
      <w:r w:rsidR="00667B08" w:rsidRPr="001C18DB">
        <w:rPr>
          <w:sz w:val="20"/>
          <w:szCs w:val="20"/>
          <w:lang w:val="en-US"/>
        </w:rPr>
        <w:t xml:space="preserve">. </w:t>
      </w:r>
      <w:r w:rsidR="00DA19DB" w:rsidRPr="001C18DB">
        <w:rPr>
          <w:sz w:val="20"/>
          <w:szCs w:val="20"/>
          <w:lang w:val="en-US"/>
        </w:rPr>
        <w:t xml:space="preserve">The first available RO for the SBFD UE occurs in subframe </w:t>
      </w:r>
      <w:r w:rsidR="00641D94">
        <w:rPr>
          <w:sz w:val="20"/>
          <w:szCs w:val="20"/>
          <w:lang w:val="en-US"/>
        </w:rPr>
        <w:t>1</w:t>
      </w:r>
      <w:r w:rsidR="00DA19DB" w:rsidRPr="001C18DB">
        <w:rPr>
          <w:sz w:val="20"/>
          <w:szCs w:val="20"/>
          <w:lang w:val="en-US"/>
        </w:rPr>
        <w:t xml:space="preserve"> while the first available RO for the </w:t>
      </w:r>
      <w:r w:rsidR="00985C73" w:rsidRPr="001C18DB">
        <w:rPr>
          <w:sz w:val="20"/>
          <w:szCs w:val="20"/>
          <w:lang w:val="en-US"/>
        </w:rPr>
        <w:t xml:space="preserve">legacy UE occurs in subframe </w:t>
      </w:r>
      <w:r w:rsidR="00641D94">
        <w:rPr>
          <w:sz w:val="20"/>
          <w:szCs w:val="20"/>
          <w:lang w:val="en-US"/>
        </w:rPr>
        <w:t>9</w:t>
      </w:r>
      <w:r w:rsidR="00985C73" w:rsidRPr="001C18DB">
        <w:rPr>
          <w:sz w:val="20"/>
          <w:szCs w:val="20"/>
          <w:lang w:val="en-US"/>
        </w:rPr>
        <w:t xml:space="preserve">. </w:t>
      </w:r>
    </w:p>
    <w:p w14:paraId="555FE17B" w14:textId="6573DEC8" w:rsidR="00DA2ED0" w:rsidRPr="001C18DB" w:rsidRDefault="00A06FCD">
      <w:pPr>
        <w:pStyle w:val="ListParagraph"/>
        <w:numPr>
          <w:ilvl w:val="0"/>
          <w:numId w:val="22"/>
        </w:numPr>
        <w:spacing w:after="120"/>
        <w:jc w:val="both"/>
        <w:rPr>
          <w:sz w:val="20"/>
          <w:szCs w:val="20"/>
          <w:lang w:val="en-US"/>
        </w:rPr>
      </w:pPr>
      <w:r w:rsidRPr="001C18DB">
        <w:rPr>
          <w:sz w:val="20"/>
          <w:szCs w:val="20"/>
          <w:lang w:val="en-US"/>
        </w:rPr>
        <w:t>Msg 2</w:t>
      </w:r>
      <w:r w:rsidR="007D4AC5" w:rsidRPr="001C18DB">
        <w:rPr>
          <w:sz w:val="20"/>
          <w:szCs w:val="20"/>
          <w:lang w:val="en-US"/>
        </w:rPr>
        <w:t>:</w:t>
      </w:r>
      <w:r w:rsidR="007C669F">
        <w:rPr>
          <w:sz w:val="20"/>
          <w:szCs w:val="20"/>
          <w:lang w:val="en-US"/>
        </w:rPr>
        <w:t xml:space="preserve"> is sent in the first available PDCC</w:t>
      </w:r>
      <w:r w:rsidR="00B265AC">
        <w:rPr>
          <w:sz w:val="20"/>
          <w:szCs w:val="20"/>
          <w:lang w:val="en-US"/>
        </w:rPr>
        <w:t>H</w:t>
      </w:r>
      <w:r w:rsidR="004E18B3">
        <w:rPr>
          <w:sz w:val="20"/>
          <w:szCs w:val="20"/>
          <w:lang w:val="en-US"/>
        </w:rPr>
        <w:t xml:space="preserve">, </w:t>
      </w:r>
    </w:p>
    <w:p w14:paraId="4CB77AD6" w14:textId="0E571E59" w:rsidR="001E4566" w:rsidRDefault="001E4566">
      <w:pPr>
        <w:pStyle w:val="ListParagraph"/>
        <w:numPr>
          <w:ilvl w:val="0"/>
          <w:numId w:val="22"/>
        </w:numPr>
        <w:spacing w:after="120"/>
        <w:jc w:val="both"/>
        <w:rPr>
          <w:sz w:val="20"/>
          <w:szCs w:val="20"/>
          <w:lang w:val="en-US"/>
        </w:rPr>
      </w:pPr>
      <w:r w:rsidRPr="001C18DB">
        <w:rPr>
          <w:sz w:val="20"/>
          <w:szCs w:val="20"/>
          <w:lang w:val="en-US"/>
        </w:rPr>
        <w:t>Msg3</w:t>
      </w:r>
      <w:r w:rsidR="001A4608">
        <w:rPr>
          <w:sz w:val="20"/>
          <w:szCs w:val="20"/>
          <w:lang w:val="en-US"/>
        </w:rPr>
        <w:t>: is sent in the first UL opportunity</w:t>
      </w:r>
      <w:r w:rsidR="004546C8">
        <w:rPr>
          <w:sz w:val="20"/>
          <w:szCs w:val="20"/>
          <w:lang w:val="en-US"/>
        </w:rPr>
        <w:t xml:space="preserve"> after Msg 2.</w:t>
      </w:r>
    </w:p>
    <w:p w14:paraId="2D0D7F01" w14:textId="0E930AF4" w:rsidR="00D056DE" w:rsidRPr="004546C8" w:rsidRDefault="004A39D2">
      <w:pPr>
        <w:pStyle w:val="ListParagraph"/>
        <w:numPr>
          <w:ilvl w:val="0"/>
          <w:numId w:val="22"/>
        </w:numPr>
        <w:spacing w:after="120"/>
        <w:jc w:val="both"/>
        <w:rPr>
          <w:lang w:val="en-US"/>
        </w:rPr>
      </w:pPr>
      <w:r w:rsidRPr="001C18DB">
        <w:rPr>
          <w:sz w:val="20"/>
          <w:szCs w:val="20"/>
          <w:lang w:val="en-US"/>
        </w:rPr>
        <w:t xml:space="preserve">Msg4: is sent in the first DL opportunity, </w:t>
      </w:r>
      <w:r w:rsidR="004546C8" w:rsidRPr="001C18DB">
        <w:rPr>
          <w:sz w:val="20"/>
          <w:szCs w:val="20"/>
          <w:lang w:val="en-US"/>
        </w:rPr>
        <w:t>after Msg 3</w:t>
      </w:r>
      <w:r w:rsidRPr="001C18DB">
        <w:rPr>
          <w:sz w:val="20"/>
          <w:szCs w:val="20"/>
          <w:lang w:val="en-US"/>
        </w:rPr>
        <w:t>.</w:t>
      </w:r>
    </w:p>
    <w:p w14:paraId="1A211D02" w14:textId="47A4CE45" w:rsidR="001F7040" w:rsidRDefault="001F7040">
      <w:pPr>
        <w:keepNext/>
        <w:spacing w:after="120"/>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CF5F93" w14:paraId="1E042C0C" w14:textId="77777777" w:rsidTr="001D7818">
        <w:tc>
          <w:tcPr>
            <w:tcW w:w="9629" w:type="dxa"/>
          </w:tcPr>
          <w:p w14:paraId="46B072BC" w14:textId="77C00BD4" w:rsidR="00B24209" w:rsidRDefault="00090BBD">
            <w:pPr>
              <w:keepNext/>
              <w:spacing w:after="120"/>
              <w:jc w:val="center"/>
            </w:pPr>
            <w:r>
              <w:rPr>
                <w:noProof/>
              </w:rPr>
              <w:drawing>
                <wp:inline distT="0" distB="0" distL="0" distR="0" wp14:anchorId="1D92C0C6" wp14:editId="21FA300B">
                  <wp:extent cx="6120765" cy="27959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2795905"/>
                          </a:xfrm>
                          <a:prstGeom prst="rect">
                            <a:avLst/>
                          </a:prstGeom>
                        </pic:spPr>
                      </pic:pic>
                    </a:graphicData>
                  </a:graphic>
                </wp:inline>
              </w:drawing>
            </w:r>
          </w:p>
        </w:tc>
      </w:tr>
    </w:tbl>
    <w:p w14:paraId="32306351" w14:textId="77777777" w:rsidR="007446AD" w:rsidRDefault="007446AD" w:rsidP="001C18DB">
      <w:pPr>
        <w:keepNext/>
        <w:spacing w:after="120"/>
        <w:jc w:val="center"/>
      </w:pPr>
    </w:p>
    <w:p w14:paraId="0AFD9A10" w14:textId="0CB18FF3" w:rsidR="00DA2ED0" w:rsidRDefault="001F7040" w:rsidP="001F7040">
      <w:pPr>
        <w:pStyle w:val="Caption"/>
        <w:jc w:val="center"/>
      </w:pPr>
      <w:bookmarkStart w:id="656" w:name="_Ref130807211"/>
      <w:r>
        <w:t xml:space="preserve">Figure </w:t>
      </w:r>
      <w:r>
        <w:fldChar w:fldCharType="begin"/>
      </w:r>
      <w:r>
        <w:instrText xml:space="preserve"> SEQ Figure \* ARABIC </w:instrText>
      </w:r>
      <w:r w:rsidR="006D080B">
        <w:fldChar w:fldCharType="separate"/>
      </w:r>
      <w:r>
        <w:fldChar w:fldCharType="end"/>
      </w:r>
      <w:bookmarkEnd w:id="656"/>
      <w:r>
        <w:t xml:space="preserve"> – Example of initial access delay </w:t>
      </w:r>
      <w:r w:rsidR="00491A41">
        <w:t>for SBFD and Legacy UEs.</w:t>
      </w:r>
    </w:p>
    <w:p w14:paraId="6305CDB6" w14:textId="15B7C92D" w:rsidR="00765F54" w:rsidRDefault="00EC53E1" w:rsidP="00EC53E1">
      <w:r>
        <w:t>In this example, the total delay from slot 0</w:t>
      </w:r>
      <w:r w:rsidR="00AD3E02">
        <w:t xml:space="preserve"> until </w:t>
      </w:r>
      <w:r w:rsidR="007A4E60">
        <w:t>msg4 is sent is</w:t>
      </w:r>
      <w:r w:rsidR="000641D8">
        <w:t xml:space="preserve"> </w:t>
      </w:r>
      <w:r w:rsidR="000B0C77">
        <w:t>8</w:t>
      </w:r>
      <w:r w:rsidR="000641D8">
        <w:t xml:space="preserve"> </w:t>
      </w:r>
      <w:proofErr w:type="spellStart"/>
      <w:r w:rsidR="000641D8">
        <w:t>ms</w:t>
      </w:r>
      <w:proofErr w:type="spellEnd"/>
      <w:r w:rsidR="000641D8">
        <w:t xml:space="preserve"> for the SBFD UE and </w:t>
      </w:r>
      <w:r w:rsidR="00F8351A">
        <w:t>1</w:t>
      </w:r>
      <w:r w:rsidR="001D74D1">
        <w:t>7</w:t>
      </w:r>
      <w:r w:rsidR="00F8351A">
        <w:t xml:space="preserve"> </w:t>
      </w:r>
      <w:proofErr w:type="spellStart"/>
      <w:r w:rsidR="00F8351A">
        <w:t>m</w:t>
      </w:r>
      <w:r w:rsidR="007A4E60">
        <w:t>s</w:t>
      </w:r>
      <w:proofErr w:type="spellEnd"/>
      <w:r w:rsidR="007A4E60">
        <w:t xml:space="preserve"> to the </w:t>
      </w:r>
      <w:r w:rsidR="00F8351A">
        <w:t>legacy</w:t>
      </w:r>
      <w:r w:rsidR="007A4E60">
        <w:t xml:space="preserve"> UE</w:t>
      </w:r>
      <w:r w:rsidR="00F8351A">
        <w:t>.</w:t>
      </w:r>
      <w:r w:rsidR="00DF1F9D">
        <w:t xml:space="preserve"> Though this figure </w:t>
      </w:r>
      <w:r w:rsidR="003F6E4F">
        <w:t xml:space="preserve">oversimplifies </w:t>
      </w:r>
      <w:r w:rsidR="00DF1F9D">
        <w:t xml:space="preserve">the initial access delay, here we can see </w:t>
      </w:r>
      <w:r w:rsidR="00950531">
        <w:t xml:space="preserve">the aspects that impact it: </w:t>
      </w:r>
    </w:p>
    <w:p w14:paraId="138C17A0" w14:textId="74804A74" w:rsidR="004F63A1" w:rsidRDefault="00950531">
      <w:pPr>
        <w:pStyle w:val="ListParagraph"/>
        <w:numPr>
          <w:ilvl w:val="0"/>
          <w:numId w:val="45"/>
        </w:numPr>
        <w:rPr>
          <w:sz w:val="20"/>
          <w:szCs w:val="20"/>
        </w:rPr>
      </w:pPr>
      <w:r w:rsidRPr="001C18DB">
        <w:rPr>
          <w:sz w:val="20"/>
          <w:szCs w:val="20"/>
        </w:rPr>
        <w:t xml:space="preserve">PRACH </w:t>
      </w:r>
      <w:proofErr w:type="spellStart"/>
      <w:r w:rsidRPr="001C18DB">
        <w:rPr>
          <w:sz w:val="20"/>
          <w:szCs w:val="20"/>
        </w:rPr>
        <w:t>configuration</w:t>
      </w:r>
      <w:proofErr w:type="spellEnd"/>
      <w:r w:rsidR="00765F54">
        <w:rPr>
          <w:sz w:val="20"/>
          <w:szCs w:val="20"/>
        </w:rPr>
        <w:t xml:space="preserve"> </w:t>
      </w:r>
      <w:proofErr w:type="spellStart"/>
      <w:r w:rsidR="00765F54">
        <w:rPr>
          <w:sz w:val="20"/>
          <w:szCs w:val="20"/>
        </w:rPr>
        <w:t>index</w:t>
      </w:r>
      <w:proofErr w:type="spellEnd"/>
      <w:r w:rsidRPr="001C18DB">
        <w:rPr>
          <w:sz w:val="20"/>
          <w:szCs w:val="20"/>
        </w:rPr>
        <w:t xml:space="preserve">, </w:t>
      </w:r>
      <w:proofErr w:type="spellStart"/>
      <w:r w:rsidRPr="001C18DB">
        <w:rPr>
          <w:sz w:val="20"/>
          <w:szCs w:val="20"/>
        </w:rPr>
        <w:t>which</w:t>
      </w:r>
      <w:proofErr w:type="spellEnd"/>
      <w:r w:rsidRPr="001C18DB">
        <w:rPr>
          <w:sz w:val="20"/>
          <w:szCs w:val="20"/>
        </w:rPr>
        <w:t xml:space="preserve"> </w:t>
      </w:r>
      <w:proofErr w:type="spellStart"/>
      <w:r w:rsidRPr="001C18DB">
        <w:rPr>
          <w:sz w:val="20"/>
          <w:szCs w:val="20"/>
        </w:rPr>
        <w:t>determines</w:t>
      </w:r>
      <w:proofErr w:type="spellEnd"/>
      <w:r w:rsidRPr="001C18DB">
        <w:rPr>
          <w:sz w:val="20"/>
          <w:szCs w:val="20"/>
        </w:rPr>
        <w:t xml:space="preserve"> </w:t>
      </w:r>
      <w:proofErr w:type="spellStart"/>
      <w:r w:rsidRPr="001C18DB">
        <w:rPr>
          <w:sz w:val="20"/>
          <w:szCs w:val="20"/>
        </w:rPr>
        <w:t>the</w:t>
      </w:r>
      <w:proofErr w:type="spellEnd"/>
      <w:r w:rsidRPr="001C18DB">
        <w:rPr>
          <w:sz w:val="20"/>
          <w:szCs w:val="20"/>
        </w:rPr>
        <w:t xml:space="preserve"> </w:t>
      </w:r>
      <w:proofErr w:type="spellStart"/>
      <w:r w:rsidR="004F63A1">
        <w:rPr>
          <w:sz w:val="20"/>
          <w:szCs w:val="20"/>
        </w:rPr>
        <w:t>subframes</w:t>
      </w:r>
      <w:proofErr w:type="spellEnd"/>
      <w:r w:rsidR="004F63A1">
        <w:rPr>
          <w:sz w:val="20"/>
          <w:szCs w:val="20"/>
        </w:rPr>
        <w:t xml:space="preserve"> </w:t>
      </w:r>
      <w:proofErr w:type="spellStart"/>
      <w:r w:rsidR="001D74D1">
        <w:rPr>
          <w:sz w:val="20"/>
          <w:szCs w:val="20"/>
        </w:rPr>
        <w:t>that</w:t>
      </w:r>
      <w:proofErr w:type="spellEnd"/>
      <w:r w:rsidR="004F63A1">
        <w:rPr>
          <w:sz w:val="20"/>
          <w:szCs w:val="20"/>
        </w:rPr>
        <w:t xml:space="preserve"> </w:t>
      </w:r>
      <w:proofErr w:type="spellStart"/>
      <w:r w:rsidR="004F63A1">
        <w:rPr>
          <w:sz w:val="20"/>
          <w:szCs w:val="20"/>
        </w:rPr>
        <w:t>contain</w:t>
      </w:r>
      <w:proofErr w:type="spellEnd"/>
      <w:r w:rsidR="004F63A1">
        <w:rPr>
          <w:sz w:val="20"/>
          <w:szCs w:val="20"/>
        </w:rPr>
        <w:t xml:space="preserve"> a</w:t>
      </w:r>
      <w:r w:rsidR="008E0336">
        <w:rPr>
          <w:sz w:val="20"/>
          <w:szCs w:val="20"/>
        </w:rPr>
        <w:t xml:space="preserve"> RACH </w:t>
      </w:r>
      <w:proofErr w:type="spellStart"/>
      <w:r w:rsidR="008E0336">
        <w:rPr>
          <w:sz w:val="20"/>
          <w:szCs w:val="20"/>
        </w:rPr>
        <w:t>occasion</w:t>
      </w:r>
      <w:proofErr w:type="spellEnd"/>
      <w:r w:rsidR="008E0336">
        <w:rPr>
          <w:sz w:val="20"/>
          <w:szCs w:val="20"/>
        </w:rPr>
        <w:t xml:space="preserve"> (RO)</w:t>
      </w:r>
    </w:p>
    <w:p w14:paraId="600404D7" w14:textId="1D9740DF" w:rsidR="00765F54" w:rsidRPr="00794356" w:rsidRDefault="004F63A1">
      <w:pPr>
        <w:pStyle w:val="ListParagraph"/>
        <w:numPr>
          <w:ilvl w:val="0"/>
          <w:numId w:val="45"/>
        </w:numPr>
      </w:pPr>
      <w:proofErr w:type="spellStart"/>
      <w:r>
        <w:rPr>
          <w:sz w:val="20"/>
          <w:szCs w:val="20"/>
        </w:rPr>
        <w:t>T</w:t>
      </w:r>
      <w:r w:rsidR="00950531" w:rsidRPr="001C18DB">
        <w:rPr>
          <w:sz w:val="20"/>
          <w:szCs w:val="20"/>
        </w:rPr>
        <w:t>he</w:t>
      </w:r>
      <w:proofErr w:type="spellEnd"/>
      <w:r w:rsidR="00950531" w:rsidRPr="001C18DB">
        <w:rPr>
          <w:sz w:val="20"/>
          <w:szCs w:val="20"/>
        </w:rPr>
        <w:t xml:space="preserve"> </w:t>
      </w:r>
      <w:proofErr w:type="spellStart"/>
      <w:r w:rsidR="00950531" w:rsidRPr="001C18DB">
        <w:rPr>
          <w:sz w:val="20"/>
          <w:szCs w:val="20"/>
        </w:rPr>
        <w:t>frame</w:t>
      </w:r>
      <w:proofErr w:type="spellEnd"/>
      <w:r w:rsidR="00950531" w:rsidRPr="001C18DB">
        <w:rPr>
          <w:sz w:val="20"/>
          <w:szCs w:val="20"/>
        </w:rPr>
        <w:t xml:space="preserve"> </w:t>
      </w:r>
      <w:proofErr w:type="spellStart"/>
      <w:r w:rsidR="00950531" w:rsidRPr="001C18DB">
        <w:rPr>
          <w:sz w:val="20"/>
          <w:szCs w:val="20"/>
        </w:rPr>
        <w:t>format</w:t>
      </w:r>
      <w:proofErr w:type="spellEnd"/>
      <w:r w:rsidR="00950531" w:rsidRPr="001C18DB">
        <w:rPr>
          <w:sz w:val="20"/>
          <w:szCs w:val="20"/>
        </w:rPr>
        <w:t xml:space="preserve">, </w:t>
      </w:r>
      <w:proofErr w:type="spellStart"/>
      <w:r w:rsidR="00950531" w:rsidRPr="001C18DB">
        <w:rPr>
          <w:sz w:val="20"/>
          <w:szCs w:val="20"/>
        </w:rPr>
        <w:t>which</w:t>
      </w:r>
      <w:proofErr w:type="spellEnd"/>
      <w:r w:rsidR="00950531" w:rsidRPr="001C18DB">
        <w:rPr>
          <w:sz w:val="20"/>
          <w:szCs w:val="20"/>
        </w:rPr>
        <w:t xml:space="preserve"> </w:t>
      </w:r>
      <w:proofErr w:type="spellStart"/>
      <w:r w:rsidR="00950531" w:rsidRPr="001C18DB">
        <w:rPr>
          <w:sz w:val="20"/>
          <w:szCs w:val="20"/>
        </w:rPr>
        <w:t>determines</w:t>
      </w:r>
      <w:proofErr w:type="spellEnd"/>
      <w:r w:rsidR="00950531" w:rsidRPr="001C18DB">
        <w:rPr>
          <w:sz w:val="20"/>
          <w:szCs w:val="20"/>
        </w:rPr>
        <w:t xml:space="preserve"> </w:t>
      </w:r>
      <w:proofErr w:type="spellStart"/>
      <w:r w:rsidR="00950531" w:rsidRPr="001C18DB">
        <w:rPr>
          <w:sz w:val="20"/>
          <w:szCs w:val="20"/>
        </w:rPr>
        <w:t>which</w:t>
      </w:r>
      <w:proofErr w:type="spellEnd"/>
      <w:r w:rsidR="00950531" w:rsidRPr="001C18DB">
        <w:rPr>
          <w:sz w:val="20"/>
          <w:szCs w:val="20"/>
        </w:rPr>
        <w:t xml:space="preserve"> PRACH </w:t>
      </w:r>
      <w:proofErr w:type="spellStart"/>
      <w:r w:rsidR="00950531" w:rsidRPr="001C18DB">
        <w:rPr>
          <w:sz w:val="20"/>
          <w:szCs w:val="20"/>
        </w:rPr>
        <w:t>occasions</w:t>
      </w:r>
      <w:proofErr w:type="spellEnd"/>
      <w:r w:rsidR="00950531" w:rsidRPr="001C18DB">
        <w:rPr>
          <w:sz w:val="20"/>
          <w:szCs w:val="20"/>
        </w:rPr>
        <w:t xml:space="preserve"> </w:t>
      </w:r>
      <w:proofErr w:type="spellStart"/>
      <w:r w:rsidR="00950531" w:rsidRPr="001C18DB">
        <w:rPr>
          <w:sz w:val="20"/>
          <w:szCs w:val="20"/>
        </w:rPr>
        <w:t>are</w:t>
      </w:r>
      <w:proofErr w:type="spellEnd"/>
      <w:r w:rsidR="00950531" w:rsidRPr="001C18DB">
        <w:rPr>
          <w:sz w:val="20"/>
          <w:szCs w:val="20"/>
        </w:rPr>
        <w:t xml:space="preserve"> </w:t>
      </w:r>
      <w:proofErr w:type="spellStart"/>
      <w:r w:rsidR="00950531" w:rsidRPr="001C18DB">
        <w:rPr>
          <w:sz w:val="20"/>
          <w:szCs w:val="20"/>
        </w:rPr>
        <w:t>valid</w:t>
      </w:r>
      <w:proofErr w:type="spellEnd"/>
      <w:r w:rsidR="00950531" w:rsidRPr="001C18DB">
        <w:rPr>
          <w:sz w:val="20"/>
          <w:szCs w:val="20"/>
        </w:rPr>
        <w:t xml:space="preserve"> and </w:t>
      </w:r>
      <w:r>
        <w:rPr>
          <w:sz w:val="20"/>
          <w:szCs w:val="20"/>
        </w:rPr>
        <w:t xml:space="preserve">in </w:t>
      </w:r>
      <w:proofErr w:type="spellStart"/>
      <w:r>
        <w:rPr>
          <w:sz w:val="20"/>
          <w:szCs w:val="20"/>
        </w:rPr>
        <w:t>which</w:t>
      </w:r>
      <w:proofErr w:type="spellEnd"/>
      <w:r>
        <w:rPr>
          <w:sz w:val="20"/>
          <w:szCs w:val="20"/>
        </w:rPr>
        <w:t xml:space="preserve"> </w:t>
      </w:r>
      <w:proofErr w:type="spellStart"/>
      <w:r>
        <w:rPr>
          <w:sz w:val="20"/>
          <w:szCs w:val="20"/>
        </w:rPr>
        <w:t>slots</w:t>
      </w:r>
      <w:proofErr w:type="spellEnd"/>
      <w:r>
        <w:rPr>
          <w:sz w:val="20"/>
          <w:szCs w:val="20"/>
        </w:rPr>
        <w:t xml:space="preserve"> it is </w:t>
      </w:r>
      <w:proofErr w:type="spellStart"/>
      <w:r>
        <w:rPr>
          <w:sz w:val="20"/>
          <w:szCs w:val="20"/>
        </w:rPr>
        <w:t>possible</w:t>
      </w:r>
      <w:proofErr w:type="spellEnd"/>
      <w:r>
        <w:rPr>
          <w:sz w:val="20"/>
          <w:szCs w:val="20"/>
        </w:rPr>
        <w:t xml:space="preserve"> to </w:t>
      </w:r>
      <w:proofErr w:type="spellStart"/>
      <w:r>
        <w:rPr>
          <w:sz w:val="20"/>
          <w:szCs w:val="20"/>
        </w:rPr>
        <w:t>send</w:t>
      </w:r>
      <w:proofErr w:type="spellEnd"/>
      <w:r>
        <w:rPr>
          <w:sz w:val="20"/>
          <w:szCs w:val="20"/>
        </w:rPr>
        <w:t xml:space="preserve"> </w:t>
      </w:r>
      <w:proofErr w:type="spellStart"/>
      <w:r>
        <w:rPr>
          <w:sz w:val="20"/>
          <w:szCs w:val="20"/>
        </w:rPr>
        <w:t>the</w:t>
      </w:r>
      <w:proofErr w:type="spellEnd"/>
      <w:r>
        <w:rPr>
          <w:sz w:val="20"/>
          <w:szCs w:val="20"/>
        </w:rPr>
        <w:t xml:space="preserve"> </w:t>
      </w:r>
      <w:proofErr w:type="spellStart"/>
      <w:r>
        <w:rPr>
          <w:sz w:val="20"/>
          <w:szCs w:val="20"/>
        </w:rPr>
        <w:t>different</w:t>
      </w:r>
      <w:proofErr w:type="spellEnd"/>
      <w:r>
        <w:rPr>
          <w:sz w:val="20"/>
          <w:szCs w:val="20"/>
        </w:rPr>
        <w:t xml:space="preserve"> </w:t>
      </w:r>
      <w:proofErr w:type="spellStart"/>
      <w:r>
        <w:rPr>
          <w:sz w:val="20"/>
          <w:szCs w:val="20"/>
        </w:rPr>
        <w:t>messages</w:t>
      </w:r>
      <w:proofErr w:type="spellEnd"/>
      <w:r>
        <w:rPr>
          <w:sz w:val="20"/>
          <w:szCs w:val="20"/>
        </w:rPr>
        <w:t xml:space="preserve"> </w:t>
      </w:r>
      <w:proofErr w:type="spellStart"/>
      <w:r>
        <w:rPr>
          <w:sz w:val="20"/>
          <w:szCs w:val="20"/>
        </w:rPr>
        <w:t>related</w:t>
      </w:r>
      <w:proofErr w:type="spellEnd"/>
      <w:r>
        <w:rPr>
          <w:sz w:val="20"/>
          <w:szCs w:val="20"/>
        </w:rPr>
        <w:t xml:space="preserve"> to PRACH. </w:t>
      </w:r>
    </w:p>
    <w:p w14:paraId="743249A2" w14:textId="77777777" w:rsidR="000523ED" w:rsidRDefault="000523ED" w:rsidP="00EC53E1"/>
    <w:p w14:paraId="3F97E09C" w14:textId="44DEBCC6" w:rsidR="00EC53E1" w:rsidRDefault="00E52B70" w:rsidP="00765E7B">
      <w:pPr>
        <w:jc w:val="both"/>
      </w:pPr>
      <w:r>
        <w:t xml:space="preserve">For most PRACH configurations there is no difference between the </w:t>
      </w:r>
      <w:r w:rsidR="00746904">
        <w:t xml:space="preserve">valid </w:t>
      </w:r>
      <w:r w:rsidR="00A43C55">
        <w:t>ROs</w:t>
      </w:r>
      <w:r w:rsidR="00746904">
        <w:t xml:space="preserve"> for a SBFD UE and for a legacy UE, because they are concentrated in subframes that are available to both</w:t>
      </w:r>
      <w:r w:rsidR="00A43C55">
        <w:t xml:space="preserve"> (for example, 4 and 9)</w:t>
      </w:r>
      <w:r w:rsidR="00746904">
        <w:t xml:space="preserve">. If we consider only the PRACH configurations with more than 4 subframes available </w:t>
      </w:r>
      <w:r w:rsidR="009B7241">
        <w:t xml:space="preserve">in each frame, and </w:t>
      </w:r>
      <w:r w:rsidR="0046694B">
        <w:t xml:space="preserve">repeat this exercise considering different PRACH configurations, </w:t>
      </w:r>
      <w:r w:rsidR="007F32A6">
        <w:t>processing times at the UE</w:t>
      </w:r>
      <w:r w:rsidR="0072600C">
        <w:t xml:space="preserve"> and gNB</w:t>
      </w:r>
      <w:r w:rsidR="007F32A6">
        <w:t xml:space="preserve"> </w:t>
      </w:r>
      <w:r w:rsidR="0046694B">
        <w:t xml:space="preserve">SSB </w:t>
      </w:r>
      <w:r w:rsidR="007D71C5">
        <w:t>periodicity</w:t>
      </w:r>
      <w:r w:rsidR="0046694B">
        <w:t xml:space="preserve"> and randomize the starting point in which both the SBFD UE and legacy UE are ready to send PRACH</w:t>
      </w:r>
      <w:r w:rsidR="004E20A8">
        <w:t xml:space="preserve"> (starting point can be any slot from slot 0 to slot 40 – 2 full frames)</w:t>
      </w:r>
      <w:r w:rsidR="0046694B">
        <w:t>,</w:t>
      </w:r>
      <w:r w:rsidR="007D71C5">
        <w:t xml:space="preserve"> </w:t>
      </w:r>
      <w:r w:rsidR="0046694B">
        <w:t>we obtain the following 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9"/>
        <w:gridCol w:w="4900"/>
      </w:tblGrid>
      <w:tr w:rsidR="007D46E5" w14:paraId="6A80ED2F" w14:textId="77777777" w:rsidTr="001D7818">
        <w:tc>
          <w:tcPr>
            <w:tcW w:w="4814" w:type="dxa"/>
          </w:tcPr>
          <w:p w14:paraId="7A802CAF" w14:textId="22AF2F90" w:rsidR="00E37B27" w:rsidRDefault="007D46E5" w:rsidP="00C03301">
            <w:pPr>
              <w:jc w:val="center"/>
            </w:pPr>
            <w:r>
              <w:rPr>
                <w:noProof/>
              </w:rPr>
              <w:drawing>
                <wp:inline distT="0" distB="0" distL="0" distR="0" wp14:anchorId="2B2F7A05" wp14:editId="41DF7E64">
                  <wp:extent cx="2934031" cy="2301997"/>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48008" cy="2312963"/>
                          </a:xfrm>
                          <a:prstGeom prst="rect">
                            <a:avLst/>
                          </a:prstGeom>
                        </pic:spPr>
                      </pic:pic>
                    </a:graphicData>
                  </a:graphic>
                </wp:inline>
              </w:drawing>
            </w:r>
            <w:r w:rsidR="00E37B27">
              <w:t>a)</w:t>
            </w:r>
          </w:p>
        </w:tc>
        <w:tc>
          <w:tcPr>
            <w:tcW w:w="4815" w:type="dxa"/>
          </w:tcPr>
          <w:p w14:paraId="1B9DADB2" w14:textId="4A9790F8" w:rsidR="00E37B27" w:rsidRDefault="002F3228" w:rsidP="00EC53E1">
            <w:r>
              <w:rPr>
                <w:noProof/>
              </w:rPr>
              <w:drawing>
                <wp:inline distT="0" distB="0" distL="0" distR="0" wp14:anchorId="77686EA1" wp14:editId="251D21DD">
                  <wp:extent cx="3038475" cy="22547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47959" cy="2261756"/>
                          </a:xfrm>
                          <a:prstGeom prst="rect">
                            <a:avLst/>
                          </a:prstGeom>
                        </pic:spPr>
                      </pic:pic>
                    </a:graphicData>
                  </a:graphic>
                </wp:inline>
              </w:drawing>
            </w:r>
          </w:p>
          <w:p w14:paraId="223F1E7A" w14:textId="2E020A88" w:rsidR="00E37B27" w:rsidRDefault="00E37B27" w:rsidP="001C18DB">
            <w:pPr>
              <w:jc w:val="center"/>
            </w:pPr>
            <w:r>
              <w:t>b)</w:t>
            </w:r>
          </w:p>
        </w:tc>
      </w:tr>
      <w:tr w:rsidR="007A6CED" w14:paraId="2FA21FF5" w14:textId="77777777" w:rsidTr="001D7818">
        <w:tc>
          <w:tcPr>
            <w:tcW w:w="9629" w:type="dxa"/>
            <w:gridSpan w:val="2"/>
          </w:tcPr>
          <w:p w14:paraId="4D78D577" w14:textId="12EC15DA" w:rsidR="007A6CED" w:rsidRDefault="007A6CED" w:rsidP="00EC53E1">
            <w:pPr>
              <w:rPr>
                <w:noProof/>
              </w:rPr>
            </w:pPr>
            <w:r>
              <w:t xml:space="preserve">Figure </w:t>
            </w:r>
            <w:r>
              <w:fldChar w:fldCharType="begin"/>
            </w:r>
            <w:r>
              <w:instrText xml:space="preserve"> SEQ Figure \* ARABIC </w:instrText>
            </w:r>
            <w:r w:rsidR="006D080B">
              <w:fldChar w:fldCharType="separate"/>
            </w:r>
            <w:r>
              <w:fldChar w:fldCharType="end"/>
            </w:r>
            <w:r>
              <w:t xml:space="preserve"> – (a) Example of initial access delay, SBFD UEs and Legacy UEs (b) </w:t>
            </w:r>
            <w:r w:rsidRPr="00606E16">
              <w:t>initial access delay difference between SBFD UEs and Legacy UEs</w:t>
            </w:r>
          </w:p>
        </w:tc>
      </w:tr>
    </w:tbl>
    <w:p w14:paraId="44D83294" w14:textId="5F201F4C" w:rsidR="00EC53E1" w:rsidRPr="001C18DB" w:rsidRDefault="00C35229" w:rsidP="00765E7B">
      <w:pPr>
        <w:jc w:val="both"/>
      </w:pPr>
      <w:r>
        <w:t xml:space="preserve">In 50% of the cases, a delay reduction of </w:t>
      </w:r>
      <w:r w:rsidR="00770D7A">
        <w:t>3</w:t>
      </w:r>
      <w:r>
        <w:t xml:space="preserve"> slots is achi</w:t>
      </w:r>
      <w:r w:rsidR="004F0597">
        <w:t xml:space="preserve">eved </w:t>
      </w:r>
      <w:r w:rsidR="002F6DF7">
        <w:t xml:space="preserve">when comparing </w:t>
      </w:r>
      <w:r w:rsidR="004F0597">
        <w:t xml:space="preserve">a DXXXU </w:t>
      </w:r>
      <w:r w:rsidR="002F6DF7">
        <w:t xml:space="preserve">configuration </w:t>
      </w:r>
      <w:r w:rsidR="004F0597">
        <w:t xml:space="preserve">and DDDSU configuration. </w:t>
      </w:r>
      <w:r w:rsidR="002F6DF7">
        <w:t>In 90</w:t>
      </w:r>
      <w:r w:rsidR="002F6DF7" w:rsidRPr="001C18DB">
        <w:rPr>
          <w:vertAlign w:val="superscript"/>
        </w:rPr>
        <w:t>th</w:t>
      </w:r>
      <w:r w:rsidR="002F6DF7">
        <w:t xml:space="preserve"> percentile, a delay reduction of </w:t>
      </w:r>
      <w:r w:rsidR="00770D7A">
        <w:t>10</w:t>
      </w:r>
      <w:r w:rsidR="002F6DF7">
        <w:t xml:space="preserve"> slots is observed.</w:t>
      </w:r>
      <w:r w:rsidR="00465E99">
        <w:t xml:space="preserve"> When considering retransmissions, this reduction can be even more accentuated. </w:t>
      </w:r>
    </w:p>
    <w:p w14:paraId="171EF718" w14:textId="52A6FDD9" w:rsidR="0038722B" w:rsidRDefault="00BB75A1" w:rsidP="00BB75A1">
      <w:pPr>
        <w:spacing w:after="120"/>
        <w:jc w:val="both"/>
        <w:rPr>
          <w:lang w:val="en-US"/>
        </w:rPr>
      </w:pPr>
      <w:r>
        <w:rPr>
          <w:lang w:val="en-US"/>
        </w:rPr>
        <w:t xml:space="preserve">As shown in the example above, </w:t>
      </w:r>
      <w:r w:rsidRPr="00145CBB">
        <w:rPr>
          <w:lang w:val="en-US"/>
        </w:rPr>
        <w:t>Enabling PRACH transmission in SBFD symbols can reduce initial access delay.</w:t>
      </w:r>
      <w:r>
        <w:rPr>
          <w:lang w:val="en-US"/>
        </w:rPr>
        <w:t xml:space="preserve"> Moreover, PRACH coverage can also be enhanced</w:t>
      </w:r>
      <w:r w:rsidR="00C1371B">
        <w:rPr>
          <w:lang w:val="en-US"/>
        </w:rPr>
        <w:t xml:space="preserve"> if the UL subband in SBFD slots </w:t>
      </w:r>
      <w:r w:rsidR="00193DDC">
        <w:rPr>
          <w:lang w:val="en-US"/>
        </w:rPr>
        <w:t>can be used for PRACH transmissions,</w:t>
      </w:r>
      <w:r>
        <w:rPr>
          <w:lang w:val="en-US"/>
        </w:rPr>
        <w:t xml:space="preserve"> as compared to only allowing PRACH transmissions in UL slots, </w:t>
      </w:r>
      <w:proofErr w:type="gramStart"/>
      <w:r>
        <w:rPr>
          <w:lang w:val="en-US"/>
        </w:rPr>
        <w:t>e.g.</w:t>
      </w:r>
      <w:proofErr w:type="gramEnd"/>
      <w:r>
        <w:rPr>
          <w:lang w:val="en-US"/>
        </w:rPr>
        <w:t xml:space="preserve"> by enabling </w:t>
      </w:r>
      <w:r w:rsidR="00104A2F">
        <w:rPr>
          <w:lang w:val="en-US"/>
        </w:rPr>
        <w:t xml:space="preserve">long </w:t>
      </w:r>
      <w:r>
        <w:rPr>
          <w:lang w:val="en-US"/>
        </w:rPr>
        <w:t xml:space="preserve">PRACH transmissions spanning over more than one </w:t>
      </w:r>
      <w:r w:rsidR="004E7727">
        <w:rPr>
          <w:rFonts w:hint="eastAsia"/>
          <w:lang w:val="en-US" w:eastAsia="zh-CN"/>
        </w:rPr>
        <w:t>consecutive</w:t>
      </w:r>
      <w:r w:rsidR="004E7727">
        <w:rPr>
          <w:lang w:val="en-US"/>
        </w:rPr>
        <w:t xml:space="preserve"> </w:t>
      </w:r>
      <w:r>
        <w:rPr>
          <w:lang w:val="en-US"/>
        </w:rPr>
        <w:t>UL slot.</w:t>
      </w:r>
      <w:r w:rsidR="00185E36">
        <w:rPr>
          <w:lang w:val="en-US"/>
        </w:rPr>
        <w:t xml:space="preserve"> </w:t>
      </w:r>
      <w:r w:rsidR="00EB252C">
        <w:rPr>
          <w:lang w:val="en-US"/>
        </w:rPr>
        <w:t xml:space="preserve">In </w:t>
      </w:r>
      <w:r w:rsidR="00522059">
        <w:rPr>
          <w:lang w:val="en-US"/>
        </w:rPr>
        <w:fldChar w:fldCharType="begin"/>
      </w:r>
      <w:r w:rsidR="00522059">
        <w:rPr>
          <w:lang w:val="en-US"/>
        </w:rPr>
        <w:instrText xml:space="preserve"> REF _Ref139362011 \r \h </w:instrText>
      </w:r>
      <w:r w:rsidR="00522059">
        <w:rPr>
          <w:lang w:val="en-US"/>
        </w:rPr>
      </w:r>
      <w:r w:rsidR="00522059">
        <w:rPr>
          <w:lang w:val="en-US"/>
        </w:rPr>
        <w:fldChar w:fldCharType="separate"/>
      </w:r>
      <w:r w:rsidR="00522059">
        <w:rPr>
          <w:lang w:val="en-US"/>
        </w:rPr>
        <w:t>[6]</w:t>
      </w:r>
      <w:r w:rsidR="00522059">
        <w:rPr>
          <w:lang w:val="en-US"/>
        </w:rPr>
        <w:fldChar w:fldCharType="end"/>
      </w:r>
      <w:r w:rsidR="00522059">
        <w:rPr>
          <w:lang w:val="en-US"/>
        </w:rPr>
        <w:fldChar w:fldCharType="begin"/>
      </w:r>
      <w:r w:rsidR="00522059">
        <w:rPr>
          <w:lang w:val="en-US"/>
        </w:rPr>
        <w:instrText xml:space="preserve"> REF _Ref139362012 \r \h </w:instrText>
      </w:r>
      <w:r w:rsidR="00522059">
        <w:rPr>
          <w:lang w:val="en-US"/>
        </w:rPr>
      </w:r>
      <w:r w:rsidR="00522059">
        <w:rPr>
          <w:lang w:val="en-US"/>
        </w:rPr>
        <w:fldChar w:fldCharType="separate"/>
      </w:r>
      <w:r w:rsidR="00522059">
        <w:rPr>
          <w:lang w:val="en-US"/>
        </w:rPr>
        <w:t>[7]</w:t>
      </w:r>
      <w:r w:rsidR="00522059">
        <w:rPr>
          <w:lang w:val="en-US"/>
        </w:rPr>
        <w:fldChar w:fldCharType="end"/>
      </w:r>
      <w:r w:rsidR="003E5215">
        <w:rPr>
          <w:lang w:val="en-US"/>
        </w:rPr>
        <w:t>, it is shown that</w:t>
      </w:r>
      <w:r w:rsidR="00B711EA">
        <w:rPr>
          <w:lang w:val="en-US"/>
        </w:rPr>
        <w:t xml:space="preserve"> UL coverage is limited by PRACH instead of PUSCH, so</w:t>
      </w:r>
      <w:r w:rsidR="003E5215">
        <w:rPr>
          <w:lang w:val="en-US"/>
        </w:rPr>
        <w:t xml:space="preserve"> using SBFD slots </w:t>
      </w:r>
      <w:r w:rsidR="00A70E26">
        <w:rPr>
          <w:lang w:val="en-US"/>
        </w:rPr>
        <w:t>for PRACH transmission can increase the UL coverage</w:t>
      </w:r>
      <w:r w:rsidR="008B2B41">
        <w:rPr>
          <w:lang w:val="en-US"/>
        </w:rPr>
        <w:t xml:space="preserve"> by 3 dB or 6dB if we increase the number of </w:t>
      </w:r>
      <w:r w:rsidR="004E7727">
        <w:rPr>
          <w:rFonts w:hint="eastAsia"/>
          <w:lang w:val="en-US" w:eastAsia="zh-CN"/>
        </w:rPr>
        <w:t>consecutive</w:t>
      </w:r>
      <w:r w:rsidR="004E7727">
        <w:rPr>
          <w:lang w:val="en-US"/>
        </w:rPr>
        <w:t xml:space="preserve"> </w:t>
      </w:r>
      <w:r w:rsidR="008B2B41">
        <w:rPr>
          <w:lang w:val="en-US"/>
        </w:rPr>
        <w:t>PRACH slots to 2 or 4</w:t>
      </w:r>
      <w:r w:rsidR="00083366">
        <w:rPr>
          <w:lang w:val="en-US"/>
        </w:rPr>
        <w:t xml:space="preserve">. </w:t>
      </w:r>
      <w:r w:rsidR="003E5215">
        <w:rPr>
          <w:lang w:val="en-US"/>
        </w:rPr>
        <w:t xml:space="preserve"> </w:t>
      </w:r>
    </w:p>
    <w:p w14:paraId="1A0592DD" w14:textId="39734B5D" w:rsidR="00BB75A1" w:rsidRDefault="00185E36" w:rsidP="00BB75A1">
      <w:pPr>
        <w:spacing w:after="120"/>
        <w:jc w:val="both"/>
        <w:rPr>
          <w:lang w:val="en-US"/>
        </w:rPr>
      </w:pPr>
      <w:r>
        <w:rPr>
          <w:lang w:val="en-US"/>
        </w:rPr>
        <w:t xml:space="preserve">Additionally, when using the SBFD symbols for sending PRACH, </w:t>
      </w:r>
      <w:r w:rsidR="00104A2F">
        <w:rPr>
          <w:lang w:val="en-US"/>
        </w:rPr>
        <w:t>it can be assumed that not all SBFD UEs will be competing for PRACH</w:t>
      </w:r>
      <w:r w:rsidR="0076430B">
        <w:rPr>
          <w:lang w:val="en-US"/>
        </w:rPr>
        <w:t xml:space="preserve"> </w:t>
      </w:r>
      <w:r w:rsidR="00104A2F">
        <w:rPr>
          <w:lang w:val="en-US"/>
        </w:rPr>
        <w:t>occasions with legacy UEs, which leads to less collisions, and less power used for retransmissions.</w:t>
      </w:r>
    </w:p>
    <w:p w14:paraId="78BC1C66" w14:textId="4D43125F" w:rsidR="00A24910" w:rsidRDefault="00C11207">
      <w:pPr>
        <w:pStyle w:val="Observation"/>
      </w:pPr>
      <w:bookmarkStart w:id="657" w:name="_Toc142394809"/>
      <w:bookmarkStart w:id="658" w:name="_Toc142394901"/>
      <w:bookmarkStart w:id="659" w:name="_Toc142397648"/>
      <w:bookmarkStart w:id="660" w:name="_Toc142397746"/>
      <w:bookmarkStart w:id="661" w:name="_Toc142397953"/>
      <w:bookmarkStart w:id="662" w:name="_Toc142399679"/>
      <w:bookmarkStart w:id="663" w:name="_Toc142400765"/>
      <w:bookmarkStart w:id="664" w:name="_Toc142400864"/>
      <w:bookmarkStart w:id="665" w:name="_Toc142400962"/>
      <w:bookmarkStart w:id="666" w:name="_Toc142401072"/>
      <w:bookmarkStart w:id="667" w:name="_Toc142401245"/>
      <w:bookmarkStart w:id="668" w:name="_Toc142466589"/>
      <w:bookmarkStart w:id="669" w:name="_Toc142481208"/>
      <w:bookmarkStart w:id="670" w:name="_Toc142482022"/>
      <w:r>
        <w:t xml:space="preserve">Allowing SBFD aware UEs to send PRACH and Msg3 in SBFD symbols can </w:t>
      </w:r>
      <w:r w:rsidR="00FB5A98">
        <w:t xml:space="preserve">result in a decrease in latency of </w:t>
      </w:r>
      <w:r w:rsidR="00AB762C">
        <w:t xml:space="preserve">at least 2 slots, and at most 18 slots when compared to </w:t>
      </w:r>
      <w:r w:rsidR="003770CB">
        <w:t xml:space="preserve">static TDD DDDSU, even if no </w:t>
      </w:r>
      <w:r w:rsidR="000A38DC">
        <w:t>additional source of delays, such as repetitions, are considered.</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0759FED" w14:textId="194970EB" w:rsidR="0075106A" w:rsidRDefault="0075106A">
      <w:pPr>
        <w:pStyle w:val="Observation"/>
      </w:pPr>
      <w:bookmarkStart w:id="671" w:name="_Toc142394810"/>
      <w:bookmarkStart w:id="672" w:name="_Toc142394902"/>
      <w:bookmarkStart w:id="673" w:name="_Toc142397649"/>
      <w:bookmarkStart w:id="674" w:name="_Toc142397747"/>
      <w:bookmarkStart w:id="675" w:name="_Toc142397954"/>
      <w:bookmarkStart w:id="676" w:name="_Toc142399680"/>
      <w:bookmarkStart w:id="677" w:name="_Toc142400766"/>
      <w:bookmarkStart w:id="678" w:name="_Toc142400865"/>
      <w:bookmarkStart w:id="679" w:name="_Toc142400963"/>
      <w:bookmarkStart w:id="680" w:name="_Toc142401073"/>
      <w:bookmarkStart w:id="681" w:name="_Toc142401246"/>
      <w:bookmarkStart w:id="682" w:name="_Toc142466590"/>
      <w:bookmarkStart w:id="683" w:name="_Toc142481209"/>
      <w:bookmarkStart w:id="684" w:name="_Toc142482023"/>
      <w:r>
        <w:t>UL coverage is limited by PRACH in</w:t>
      </w:r>
      <w:r w:rsidR="003C344E">
        <w:t>s</w:t>
      </w:r>
      <w:r>
        <w:t>tead of PUSCH, so using SBFD slots for PRACH transmission can increase the UL coverag</w:t>
      </w:r>
      <w:r w:rsidR="00150B18">
        <w:rPr>
          <w:rFonts w:hint="eastAsia"/>
          <w:lang w:eastAsia="zh-CN"/>
        </w:rPr>
        <w:t>e</w:t>
      </w:r>
      <w:r w:rsidR="00334A3E">
        <w:t xml:space="preserve"> up to 3dB or 6dB if the number of slots used to </w:t>
      </w:r>
      <w:r w:rsidR="00AF1449">
        <w:rPr>
          <w:rFonts w:hint="eastAsia"/>
          <w:lang w:eastAsia="zh-CN"/>
        </w:rPr>
        <w:t>consecutive</w:t>
      </w:r>
      <w:r w:rsidR="00334A3E">
        <w:t xml:space="preserve"> PRACH is increased to 2 or 4.</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t xml:space="preserve">  </w:t>
      </w:r>
    </w:p>
    <w:p w14:paraId="7DB74604" w14:textId="1E8CFD95" w:rsidR="004D29C4" w:rsidRDefault="00F348C4" w:rsidP="00883AD2">
      <w:pPr>
        <w:pStyle w:val="Observation"/>
      </w:pPr>
      <w:bookmarkStart w:id="685" w:name="_Toc142394811"/>
      <w:bookmarkStart w:id="686" w:name="_Toc142394903"/>
      <w:bookmarkStart w:id="687" w:name="_Toc142397650"/>
      <w:bookmarkStart w:id="688" w:name="_Toc142397748"/>
      <w:bookmarkStart w:id="689" w:name="_Toc142397955"/>
      <w:bookmarkStart w:id="690" w:name="_Toc142399681"/>
      <w:bookmarkStart w:id="691" w:name="_Toc142400767"/>
      <w:bookmarkStart w:id="692" w:name="_Toc142400866"/>
      <w:bookmarkStart w:id="693" w:name="_Toc142400964"/>
      <w:bookmarkStart w:id="694" w:name="_Toc142401074"/>
      <w:bookmarkStart w:id="695" w:name="_Toc142401247"/>
      <w:bookmarkStart w:id="696" w:name="_Toc142466591"/>
      <w:bookmarkStart w:id="697" w:name="_Toc142481210"/>
      <w:bookmarkStart w:id="698" w:name="_Toc142482024"/>
      <w:r>
        <w:t>Allowing</w:t>
      </w:r>
      <w:r w:rsidR="00E96456">
        <w:t xml:space="preserve"> SBFD </w:t>
      </w:r>
      <w:r w:rsidR="004226AA">
        <w:t xml:space="preserve">aware </w:t>
      </w:r>
      <w:r w:rsidR="00E96456">
        <w:t xml:space="preserve">UEs to send PRACH </w:t>
      </w:r>
      <w:r w:rsidR="004226AA">
        <w:t xml:space="preserve">in SBFD symbols can reduce the number of collisions for sending PRACH since </w:t>
      </w:r>
      <w:r w:rsidR="005F593E">
        <w:t>SBFD aware UEs would not necessarily be competing for PRACH resources with legacy UEs.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62DFE92C" w14:textId="520838BE" w:rsidR="00BB75A1" w:rsidRPr="00145CBB" w:rsidRDefault="00BB75A1">
      <w:pPr>
        <w:pStyle w:val="Observation"/>
      </w:pPr>
      <w:bookmarkStart w:id="699" w:name="_Toc142394812"/>
      <w:bookmarkStart w:id="700" w:name="_Toc142394904"/>
      <w:bookmarkStart w:id="701" w:name="_Toc142397651"/>
      <w:bookmarkStart w:id="702" w:name="_Toc142397749"/>
      <w:bookmarkStart w:id="703" w:name="_Toc142397956"/>
      <w:bookmarkStart w:id="704" w:name="_Toc142399682"/>
      <w:bookmarkStart w:id="705" w:name="_Toc142400768"/>
      <w:bookmarkStart w:id="706" w:name="_Toc142400867"/>
      <w:bookmarkStart w:id="707" w:name="_Toc142400965"/>
      <w:bookmarkStart w:id="708" w:name="_Toc142401075"/>
      <w:bookmarkStart w:id="709" w:name="_Toc142401248"/>
      <w:bookmarkStart w:id="710" w:name="_Toc142466592"/>
      <w:bookmarkStart w:id="711" w:name="_Toc142481211"/>
      <w:bookmarkStart w:id="712" w:name="_Toc142482025"/>
      <w:r w:rsidRPr="00145CBB">
        <w:t xml:space="preserve">Enabling initial access in SBFD symbols can increase the </w:t>
      </w:r>
      <w:r>
        <w:t>P</w:t>
      </w:r>
      <w:r w:rsidRPr="00145CBB">
        <w:t>RACH capacity</w:t>
      </w:r>
      <w:r>
        <w:t xml:space="preserve">, PRACH coverage, as well as </w:t>
      </w:r>
      <w:r w:rsidRPr="00145CBB">
        <w:t>reduce initial access delay.</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658A955D" w14:textId="015ECE9C" w:rsidR="00BB75A1" w:rsidRDefault="00FF26CF" w:rsidP="00EE6CC6">
      <w:pPr>
        <w:spacing w:after="120"/>
        <w:jc w:val="both"/>
        <w:rPr>
          <w:lang w:val="en-US"/>
        </w:rPr>
      </w:pPr>
      <w:r>
        <w:rPr>
          <w:lang w:val="en-US"/>
        </w:rPr>
        <w:t xml:space="preserve">As in the example above, </w:t>
      </w:r>
      <w:r w:rsidR="00BB75A1" w:rsidRPr="00145CBB">
        <w:rPr>
          <w:lang w:val="en-US"/>
        </w:rPr>
        <w:t xml:space="preserve">ROs could be configured using existing RACH configuration during legacy </w:t>
      </w:r>
      <w:r w:rsidR="00BB75A1">
        <w:rPr>
          <w:lang w:val="en-US"/>
        </w:rPr>
        <w:t>D</w:t>
      </w:r>
      <w:r w:rsidR="00BB75A1" w:rsidRPr="00145CBB">
        <w:rPr>
          <w:lang w:val="en-US"/>
        </w:rPr>
        <w:t>L slots</w:t>
      </w:r>
      <w:r w:rsidR="00BB75A1">
        <w:rPr>
          <w:lang w:val="en-US"/>
        </w:rPr>
        <w:t xml:space="preserve"> (</w:t>
      </w:r>
      <w:proofErr w:type="gramStart"/>
      <w:r w:rsidR="00BB75A1">
        <w:rPr>
          <w:lang w:val="en-US"/>
        </w:rPr>
        <w:t>i.e.</w:t>
      </w:r>
      <w:proofErr w:type="gramEnd"/>
      <w:r w:rsidR="00BB75A1">
        <w:rPr>
          <w:lang w:val="en-US"/>
        </w:rPr>
        <w:t xml:space="preserve"> slots configured as DL in </w:t>
      </w:r>
      <w:proofErr w:type="spellStart"/>
      <w:r w:rsidR="00BB75A1">
        <w:rPr>
          <w:i/>
          <w:iCs/>
          <w:lang w:val="en-US"/>
        </w:rPr>
        <w:t>tdd</w:t>
      </w:r>
      <w:proofErr w:type="spellEnd"/>
      <w:r w:rsidR="00BB75A1" w:rsidRPr="00C56F62">
        <w:rPr>
          <w:i/>
          <w:iCs/>
          <w:lang w:val="en-US"/>
        </w:rPr>
        <w:t>-UL-DL-</w:t>
      </w:r>
      <w:proofErr w:type="spellStart"/>
      <w:r w:rsidR="00BB75A1" w:rsidRPr="00C56F62">
        <w:rPr>
          <w:i/>
          <w:iCs/>
          <w:lang w:val="en-US"/>
        </w:rPr>
        <w:t>Config</w:t>
      </w:r>
      <w:r w:rsidR="00BB75A1">
        <w:rPr>
          <w:i/>
          <w:iCs/>
          <w:lang w:val="en-US"/>
        </w:rPr>
        <w:t>uration</w:t>
      </w:r>
      <w:r w:rsidR="00BB75A1" w:rsidRPr="00C56F62">
        <w:rPr>
          <w:i/>
          <w:iCs/>
          <w:lang w:val="en-US"/>
        </w:rPr>
        <w:t>Common</w:t>
      </w:r>
      <w:proofErr w:type="spellEnd"/>
      <w:r w:rsidR="00BB75A1">
        <w:rPr>
          <w:lang w:val="en-US"/>
        </w:rPr>
        <w:t>)</w:t>
      </w:r>
      <w:r w:rsidR="00BB75A1" w:rsidRPr="00145CBB">
        <w:rPr>
          <w:lang w:val="en-US"/>
        </w:rPr>
        <w:t xml:space="preserve">. Legacy UEs may consider the ROs colliding with DL symbols as invalid, while SBFD aware UEs may consider the ROs colliding with DL symbols as valid. Signaling the subband UL location in frequency and time domain to IDLE mode </w:t>
      </w:r>
      <w:r w:rsidR="00BB75A1" w:rsidRPr="00FF75B0">
        <w:rPr>
          <w:lang w:val="en-US"/>
        </w:rPr>
        <w:t>UEs (</w:t>
      </w:r>
      <w:proofErr w:type="gramStart"/>
      <w:r w:rsidR="00BB75A1" w:rsidRPr="001C18DB">
        <w:rPr>
          <w:lang w:val="en-US"/>
        </w:rPr>
        <w:t>e.g.</w:t>
      </w:r>
      <w:proofErr w:type="gramEnd"/>
      <w:r w:rsidR="00BB75A1" w:rsidRPr="001C18DB">
        <w:rPr>
          <w:lang w:val="en-US"/>
        </w:rPr>
        <w:t xml:space="preserve"> in SIB1)</w:t>
      </w:r>
      <w:r w:rsidR="00BB75A1" w:rsidRPr="00FF75B0">
        <w:rPr>
          <w:lang w:val="en-US"/>
        </w:rPr>
        <w:t xml:space="preserve"> may</w:t>
      </w:r>
      <w:r w:rsidR="00BB75A1" w:rsidRPr="00145CBB">
        <w:rPr>
          <w:lang w:val="en-US"/>
        </w:rPr>
        <w:t xml:space="preserve"> facilitate the UE in determining the validity of ROs configured during SBFD symbols. On the other hand, having a single RACH configuration for legacy UL and SBFD symbols may create backward compatibility issue (legacy UEs do not expect ROs to be configured on symbols signaled as D</w:t>
      </w:r>
      <w:r w:rsidR="00BB75A1">
        <w:rPr>
          <w:lang w:val="en-US"/>
        </w:rPr>
        <w:t>L in</w:t>
      </w:r>
      <w:r w:rsidR="00BB75A1" w:rsidRPr="00145CBB">
        <w:rPr>
          <w:lang w:val="en-US"/>
        </w:rPr>
        <w:t xml:space="preserve"> </w:t>
      </w:r>
      <w:proofErr w:type="spellStart"/>
      <w:r w:rsidR="00BB75A1" w:rsidRPr="00145CBB">
        <w:rPr>
          <w:i/>
          <w:iCs/>
          <w:lang w:val="en-US"/>
        </w:rPr>
        <w:t>tdd</w:t>
      </w:r>
      <w:proofErr w:type="spellEnd"/>
      <w:r w:rsidR="00BB75A1" w:rsidRPr="00145CBB">
        <w:rPr>
          <w:i/>
          <w:iCs/>
          <w:lang w:val="en-US"/>
        </w:rPr>
        <w:t>-UL-DL-</w:t>
      </w:r>
      <w:proofErr w:type="spellStart"/>
      <w:r w:rsidR="00BB75A1" w:rsidRPr="00145CBB">
        <w:rPr>
          <w:i/>
          <w:iCs/>
          <w:lang w:val="en-US"/>
        </w:rPr>
        <w:t>ConfigurationCommon</w:t>
      </w:r>
      <w:proofErr w:type="spellEnd"/>
      <w:r w:rsidR="00BB75A1" w:rsidRPr="00145CBB">
        <w:rPr>
          <w:lang w:val="en-US"/>
        </w:rPr>
        <w:t xml:space="preserve">) and reduce the resource allocation flexibility.   </w:t>
      </w:r>
    </w:p>
    <w:p w14:paraId="49291F79" w14:textId="18E35D9A" w:rsidR="00EE6CC6" w:rsidRPr="00145CBB" w:rsidRDefault="00EE6CC6" w:rsidP="00EE6CC6">
      <w:pPr>
        <w:spacing w:after="120"/>
        <w:jc w:val="both"/>
        <w:rPr>
          <w:lang w:val="en-US"/>
        </w:rPr>
      </w:pPr>
      <w:r w:rsidRPr="00145CBB">
        <w:rPr>
          <w:lang w:val="en-US"/>
        </w:rPr>
        <w:t>A better approach would be to have different RACH configuration parameters for legacy UL and SBFD symbols</w:t>
      </w:r>
      <w:r w:rsidR="001A693B">
        <w:rPr>
          <w:lang w:val="en-US"/>
        </w:rPr>
        <w:t>/slots</w:t>
      </w:r>
      <w:r w:rsidRPr="00145CBB">
        <w:rPr>
          <w:lang w:val="en-US"/>
        </w:rPr>
        <w:t xml:space="preserve">. This can be done, for example, by means of </w:t>
      </w:r>
      <w:r w:rsidR="001A693B" w:rsidRPr="00145CBB">
        <w:rPr>
          <w:lang w:val="en-US"/>
        </w:rPr>
        <w:t>signaling</w:t>
      </w:r>
      <w:r w:rsidRPr="00145CBB">
        <w:rPr>
          <w:lang w:val="en-US"/>
        </w:rPr>
        <w:t xml:space="preserve"> a new SBFD RACH configuration via SIB1 message to be used by SBFD aware UEs to perform random access in SBFD slots/symbols. The UE may implicitly assume that the new SBFD RACH configuration applies to ROs colliding with SBFD symbols, or an explicit indication on the valid ROs can be included in the new SBFD RACH configuration. Details are FFS. </w:t>
      </w:r>
    </w:p>
    <w:p w14:paraId="1E641B0E" w14:textId="77777777" w:rsidR="00F317A2" w:rsidRDefault="00EE6CC6" w:rsidP="00F317A2">
      <w:pPr>
        <w:spacing w:after="120"/>
        <w:jc w:val="both"/>
        <w:rPr>
          <w:lang w:val="en-US"/>
        </w:rPr>
      </w:pPr>
      <w:r w:rsidRPr="00F317A2">
        <w:rPr>
          <w:lang w:val="en-US"/>
        </w:rPr>
        <w:t xml:space="preserve">To handle cross link interference in SBFD symbols, the network could configure different criteria to consider a RO as invalid in SBFD slots unless certain conditions are met (by means of configuration of maximum transmit power, minimum coupling loss, priority rules, etc.). This can be done by defining new corresponding parameter(s) in the new SBFD RACH configuration. </w:t>
      </w:r>
    </w:p>
    <w:p w14:paraId="15364E53" w14:textId="02D81C69" w:rsidR="00BE2F3A" w:rsidRDefault="00BE2F3A" w:rsidP="00BE2F3A">
      <w:pPr>
        <w:spacing w:after="120"/>
        <w:jc w:val="both"/>
        <w:rPr>
          <w:lang w:val="en-US"/>
        </w:rPr>
      </w:pPr>
      <w:r>
        <w:rPr>
          <w:lang w:val="en-US"/>
        </w:rPr>
        <w:t>In RAN1 #113, the following was proposed as a conclusion in the discussion summary</w:t>
      </w:r>
      <w:r w:rsidR="00A90490">
        <w:rPr>
          <w:lang w:val="en-US"/>
        </w:rPr>
        <w:t>, without an agreement.</w:t>
      </w:r>
      <w:r>
        <w:rPr>
          <w:lang w:val="en-US"/>
        </w:rPr>
        <w:t xml:space="preserve"> </w:t>
      </w:r>
      <w:r>
        <w:rPr>
          <w:lang w:val="en-US"/>
        </w:rPr>
        <w:fldChar w:fldCharType="begin"/>
      </w:r>
      <w:r>
        <w:rPr>
          <w:lang w:val="en-US"/>
        </w:rPr>
        <w:instrText xml:space="preserve"> REF _Ref138766238 \r \h </w:instrText>
      </w:r>
      <w:r>
        <w:rPr>
          <w:lang w:val="en-US"/>
        </w:rPr>
      </w:r>
      <w:r>
        <w:rPr>
          <w:lang w:val="en-US"/>
        </w:rPr>
        <w:fldChar w:fldCharType="separate"/>
      </w:r>
      <w:r>
        <w:rPr>
          <w:lang w:val="en-US"/>
        </w:rPr>
        <w:t>[5]</w:t>
      </w:r>
      <w:r>
        <w:rPr>
          <w:lang w:val="en-US"/>
        </w:rPr>
        <w:fldChar w:fldCharType="end"/>
      </w:r>
    </w:p>
    <w:tbl>
      <w:tblPr>
        <w:tblStyle w:val="TableGrid"/>
        <w:tblW w:w="0" w:type="auto"/>
        <w:tblLook w:val="04A0" w:firstRow="1" w:lastRow="0" w:firstColumn="1" w:lastColumn="0" w:noHBand="0" w:noVBand="1"/>
      </w:tblPr>
      <w:tblGrid>
        <w:gridCol w:w="9629"/>
      </w:tblGrid>
      <w:tr w:rsidR="00AD72BD" w14:paraId="187AC9B6" w14:textId="77777777">
        <w:tc>
          <w:tcPr>
            <w:tcW w:w="9629" w:type="dxa"/>
          </w:tcPr>
          <w:p w14:paraId="5F6784B7" w14:textId="77777777" w:rsidR="00BE2F3A" w:rsidRPr="006C797E" w:rsidRDefault="00BE2F3A">
            <w:pPr>
              <w:spacing w:after="120"/>
              <w:jc w:val="both"/>
              <w:rPr>
                <w:lang w:val="en-US"/>
              </w:rPr>
            </w:pPr>
            <w:r w:rsidRPr="006C797E">
              <w:rPr>
                <w:lang w:val="en-US"/>
              </w:rPr>
              <w:t>Proposal 1-12a</w:t>
            </w:r>
          </w:p>
          <w:p w14:paraId="215B5406" w14:textId="77777777" w:rsidR="00BE2F3A" w:rsidRPr="006C797E" w:rsidRDefault="00BE2F3A">
            <w:pPr>
              <w:spacing w:after="120"/>
              <w:jc w:val="both"/>
              <w:rPr>
                <w:lang w:val="en-US"/>
              </w:rPr>
            </w:pPr>
            <w:r w:rsidRPr="006C797E">
              <w:rPr>
                <w:lang w:val="en-US"/>
              </w:rPr>
              <w:t>Proposed Conclusion:</w:t>
            </w:r>
          </w:p>
          <w:p w14:paraId="47B3211A" w14:textId="77777777" w:rsidR="00BE2F3A" w:rsidRPr="006C797E" w:rsidRDefault="00BE2F3A">
            <w:pPr>
              <w:spacing w:after="120"/>
              <w:jc w:val="both"/>
              <w:rPr>
                <w:lang w:val="en-US"/>
              </w:rPr>
            </w:pPr>
            <w:r w:rsidRPr="006C797E">
              <w:rPr>
                <w:lang w:val="en-US"/>
              </w:rPr>
              <w:t>If PRACH and Msg3 transmissions are allowed in UL subband for SBFD-aware UEs, it can potentially reduce the latency of random access, reduce the collision probability, improve the coverage of PRACH and Msg3 and avoid the UL resource fragmentation in full UL symbols.</w:t>
            </w:r>
          </w:p>
          <w:p w14:paraId="3E09C1C1" w14:textId="77777777" w:rsidR="00BE2F3A" w:rsidRDefault="00BE2F3A">
            <w:pPr>
              <w:spacing w:after="120"/>
              <w:jc w:val="both"/>
              <w:rPr>
                <w:lang w:val="en-US"/>
              </w:rPr>
            </w:pPr>
            <w:proofErr w:type="gramStart"/>
            <w:r w:rsidRPr="006C797E">
              <w:rPr>
                <w:lang w:val="en-US"/>
              </w:rPr>
              <w:t>In order to</w:t>
            </w:r>
            <w:proofErr w:type="gramEnd"/>
            <w:r w:rsidRPr="006C797E">
              <w:rPr>
                <w:lang w:val="en-US"/>
              </w:rPr>
              <w:t xml:space="preserve"> support PRACH and Msg3 transmissions in UL subband for SBFD aware UEs in RRC_IDLE and RRC_INACTIVE states, SBFD time and frequency locations need to be configured in SIB and higher specification impact is expected.</w:t>
            </w:r>
          </w:p>
        </w:tc>
      </w:tr>
    </w:tbl>
    <w:p w14:paraId="15067936" w14:textId="77777777" w:rsidR="00BE2F3A" w:rsidRDefault="00BE2F3A" w:rsidP="00BE2F3A">
      <w:pPr>
        <w:spacing w:after="120"/>
        <w:jc w:val="both"/>
        <w:rPr>
          <w:lang w:val="en-US"/>
        </w:rPr>
      </w:pPr>
    </w:p>
    <w:p w14:paraId="0724F36D" w14:textId="54714593" w:rsidR="00BE2F3A" w:rsidRDefault="00BE2F3A" w:rsidP="00F317A2">
      <w:pPr>
        <w:spacing w:after="120"/>
        <w:jc w:val="both"/>
        <w:rPr>
          <w:lang w:val="en-US"/>
        </w:rPr>
      </w:pPr>
      <w:r>
        <w:rPr>
          <w:lang w:val="en-US"/>
        </w:rPr>
        <w:t xml:space="preserve">Our view is that it is important to capture </w:t>
      </w:r>
      <w:r w:rsidR="00A90490">
        <w:rPr>
          <w:lang w:val="en-US"/>
        </w:rPr>
        <w:t>the discussions regarding th</w:t>
      </w:r>
      <w:r w:rsidR="00A53D4C">
        <w:rPr>
          <w:lang w:val="en-US"/>
        </w:rPr>
        <w:t xml:space="preserve">e initial access in SBFD symbols in the TR, since it was mentioned by different companies during the study phase. </w:t>
      </w:r>
    </w:p>
    <w:p w14:paraId="7D0EA773" w14:textId="0B34E01B" w:rsidR="00EE6CC6" w:rsidRPr="0017297A" w:rsidRDefault="002308CC" w:rsidP="00F317A2">
      <w:pPr>
        <w:pStyle w:val="Proposal"/>
      </w:pPr>
      <w:bookmarkStart w:id="713" w:name="_Toc142481212"/>
      <w:bookmarkStart w:id="714" w:name="_Toc142482026"/>
      <w:bookmarkStart w:id="715" w:name="_Toc142394813"/>
      <w:bookmarkStart w:id="716" w:name="_Toc142394905"/>
      <w:bookmarkStart w:id="717" w:name="_Toc142397652"/>
      <w:bookmarkStart w:id="718" w:name="_Toc142397750"/>
      <w:bookmarkStart w:id="719" w:name="_Toc142397957"/>
      <w:bookmarkStart w:id="720" w:name="_Toc142399683"/>
      <w:bookmarkStart w:id="721" w:name="_Toc142400769"/>
      <w:bookmarkStart w:id="722" w:name="_Toc142400868"/>
      <w:bookmarkStart w:id="723" w:name="_Toc142400966"/>
      <w:bookmarkStart w:id="724" w:name="_Toc142401076"/>
      <w:bookmarkStart w:id="725" w:name="_Toc142401249"/>
      <w:bookmarkStart w:id="726" w:name="_Toc142466593"/>
      <w:r w:rsidRPr="0017297A">
        <w:t xml:space="preserve">Capture in the TR the following conclusion: </w:t>
      </w:r>
      <w:r w:rsidR="00242CF6" w:rsidRPr="0017297A">
        <w:t xml:space="preserve">It is beneficial </w:t>
      </w:r>
      <w:r w:rsidR="00BD2EE8" w:rsidRPr="0017297A">
        <w:t xml:space="preserve">to allow </w:t>
      </w:r>
      <w:r w:rsidR="00622E6F" w:rsidRPr="0017297A">
        <w:t>PRACH and Ms</w:t>
      </w:r>
      <w:r w:rsidR="00606353" w:rsidRPr="0017297A">
        <w:t xml:space="preserve">g3 transmissions in SBFD symbols. </w:t>
      </w:r>
      <w:r w:rsidR="00333865" w:rsidRPr="0017297A">
        <w:t>I</w:t>
      </w:r>
      <w:r w:rsidR="00EF712F" w:rsidRPr="0017297A">
        <w:t>nitial access during SBFD symbols</w:t>
      </w:r>
      <w:r w:rsidR="00C3119D" w:rsidRPr="0017297A">
        <w:t xml:space="preserve"> can increase PRACH capacity, PRACH</w:t>
      </w:r>
      <w:r w:rsidR="0063538C" w:rsidRPr="0017297A">
        <w:t>/Msg3</w:t>
      </w:r>
      <w:r w:rsidR="00C3119D" w:rsidRPr="0017297A">
        <w:t xml:space="preserve"> coverage</w:t>
      </w:r>
      <w:r w:rsidR="00E41F2F" w:rsidRPr="0017297A">
        <w:t xml:space="preserve"> (</w:t>
      </w:r>
      <w:proofErr w:type="gramStart"/>
      <w:r w:rsidR="00E41F2F" w:rsidRPr="0017297A">
        <w:t>e.g.</w:t>
      </w:r>
      <w:proofErr w:type="gramEnd"/>
      <w:r w:rsidR="00E41F2F" w:rsidRPr="0017297A">
        <w:t xml:space="preserve"> by 3 or 6dB)</w:t>
      </w:r>
      <w:r w:rsidR="002E7F94" w:rsidRPr="0017297A">
        <w:t>, reduce the collision probability</w:t>
      </w:r>
      <w:r w:rsidR="00C3119D" w:rsidRPr="0017297A">
        <w:t xml:space="preserve"> as well as reduce </w:t>
      </w:r>
      <w:r w:rsidR="00F0121F" w:rsidRPr="0017297A">
        <w:t>latency of random access</w:t>
      </w:r>
      <w:r w:rsidR="0017297A">
        <w:t xml:space="preserve"> as much as 18 slots, depending on the configurations being compared</w:t>
      </w:r>
      <w:r w:rsidR="00C3119D" w:rsidRPr="0017297A">
        <w:t>.</w:t>
      </w:r>
      <w:bookmarkEnd w:id="713"/>
      <w:bookmarkEnd w:id="714"/>
      <w:r w:rsidR="00C3119D" w:rsidRPr="0017297A">
        <w:t xml:space="preserve"> </w:t>
      </w:r>
      <w:bookmarkEnd w:id="715"/>
      <w:bookmarkEnd w:id="716"/>
      <w:bookmarkEnd w:id="717"/>
      <w:bookmarkEnd w:id="718"/>
      <w:bookmarkEnd w:id="719"/>
      <w:bookmarkEnd w:id="720"/>
      <w:bookmarkEnd w:id="721"/>
      <w:bookmarkEnd w:id="722"/>
      <w:bookmarkEnd w:id="723"/>
      <w:bookmarkEnd w:id="724"/>
      <w:bookmarkEnd w:id="725"/>
      <w:bookmarkEnd w:id="726"/>
    </w:p>
    <w:p w14:paraId="60461670" w14:textId="1A02B952" w:rsidR="00C85713" w:rsidRPr="00C85713" w:rsidRDefault="00C85713" w:rsidP="00C85713">
      <w:pPr>
        <w:pStyle w:val="Heading3"/>
        <w:rPr>
          <w:lang w:val="en-US"/>
        </w:rPr>
      </w:pPr>
      <w:r w:rsidRPr="00C85713">
        <w:rPr>
          <w:lang w:val="en-US"/>
        </w:rPr>
        <w:t>Impact and potential enhancements for transmissions and receptions</w:t>
      </w:r>
    </w:p>
    <w:p w14:paraId="477D4C2E" w14:textId="2C2B3412" w:rsidR="006F3B00" w:rsidRPr="00B4612E" w:rsidDel="002C69EF" w:rsidRDefault="00852B47" w:rsidP="002C69EF">
      <w:pPr>
        <w:jc w:val="both"/>
        <w:rPr>
          <w:b/>
          <w:bCs/>
          <w:lang w:val="en-US"/>
        </w:rPr>
      </w:pPr>
      <w:r w:rsidDel="002C69EF">
        <w:t xml:space="preserve">We think that </w:t>
      </w:r>
      <w:r w:rsidR="00B4612E" w:rsidDel="002C69EF">
        <w:t>support of SBFD</w:t>
      </w:r>
      <w:r w:rsidR="00555357" w:rsidDel="002C69EF">
        <w:t xml:space="preserve"> </w:t>
      </w:r>
      <w:r w:rsidR="00B4612E" w:rsidDel="002C69EF">
        <w:t>introduces</w:t>
      </w:r>
      <w:r w:rsidR="00555357" w:rsidDel="002C69EF">
        <w:t xml:space="preserve"> two main challenges</w:t>
      </w:r>
      <w:r w:rsidR="00B4612E" w:rsidDel="002C69EF">
        <w:t xml:space="preserve"> from frequency domain resource allocation perspective</w:t>
      </w:r>
      <w:r w:rsidR="006F3B00" w:rsidDel="002C69EF">
        <w:t>:</w:t>
      </w:r>
    </w:p>
    <w:p w14:paraId="0358CD22" w14:textId="0A950E04" w:rsidR="00B4612E" w:rsidRPr="00B4612E" w:rsidDel="002C69EF" w:rsidRDefault="00B4612E" w:rsidP="00BF10A9">
      <w:pPr>
        <w:jc w:val="both"/>
        <w:rPr>
          <w:lang w:val="en-US"/>
        </w:rPr>
      </w:pPr>
      <w:r w:rsidRPr="00B4612E" w:rsidDel="002C69EF">
        <w:rPr>
          <w:lang w:val="en-US"/>
        </w:rPr>
        <w:t>During SBFD slots</w:t>
      </w:r>
      <w:r w:rsidDel="002C69EF">
        <w:rPr>
          <w:lang w:val="en-US"/>
        </w:rPr>
        <w:t>/</w:t>
      </w:r>
      <w:r w:rsidRPr="00B4612E" w:rsidDel="002C69EF">
        <w:rPr>
          <w:lang w:val="en-US"/>
        </w:rPr>
        <w:t>symbols</w:t>
      </w:r>
      <w:r w:rsidDel="002C69EF">
        <w:rPr>
          <w:lang w:val="en-US"/>
        </w:rPr>
        <w:t xml:space="preserve"> and </w:t>
      </w:r>
      <w:r w:rsidRPr="00B4612E" w:rsidDel="002C69EF">
        <w:rPr>
          <w:lang w:val="en-US"/>
        </w:rPr>
        <w:t xml:space="preserve">in case the UL subband is located at the middle part of the carrier, there </w:t>
      </w:r>
      <w:r w:rsidDel="002C69EF">
        <w:rPr>
          <w:lang w:val="en-US"/>
        </w:rPr>
        <w:t xml:space="preserve">may </w:t>
      </w:r>
      <w:r w:rsidRPr="00B4612E" w:rsidDel="002C69EF">
        <w:rPr>
          <w:lang w:val="en-US"/>
        </w:rPr>
        <w:t xml:space="preserve">be </w:t>
      </w:r>
      <w:r w:rsidR="00C5163B" w:rsidDel="002C69EF">
        <w:rPr>
          <w:lang w:val="en-US"/>
        </w:rPr>
        <w:t xml:space="preserve">inefficiencies in the currently supported </w:t>
      </w:r>
      <w:r w:rsidRPr="00B4612E" w:rsidDel="002C69EF">
        <w:rPr>
          <w:lang w:val="en-US"/>
        </w:rPr>
        <w:t>FDRA to support allocation of frequency resources in two non-adjacent DL su</w:t>
      </w:r>
      <w:r w:rsidDel="002C69EF">
        <w:rPr>
          <w:lang w:val="en-US"/>
        </w:rPr>
        <w:t>bb</w:t>
      </w:r>
      <w:r w:rsidRPr="00B4612E" w:rsidDel="002C69EF">
        <w:rPr>
          <w:lang w:val="en-US"/>
        </w:rPr>
        <w:t>ands.</w:t>
      </w:r>
      <w:r w:rsidR="00AC0738" w:rsidDel="002C69EF">
        <w:rPr>
          <w:lang w:val="en-US"/>
        </w:rPr>
        <w:t xml:space="preserve"> This may require enhancements. </w:t>
      </w:r>
    </w:p>
    <w:p w14:paraId="5CB8C21C" w14:textId="511B7E1D" w:rsidR="007B7A87" w:rsidRPr="00B4612E" w:rsidDel="002C69EF" w:rsidRDefault="00AC0738" w:rsidP="00BF10A9">
      <w:pPr>
        <w:jc w:val="both"/>
        <w:rPr>
          <w:lang w:val="en-US"/>
        </w:rPr>
      </w:pPr>
      <w:r w:rsidDel="002C69EF">
        <w:rPr>
          <w:lang w:val="en-US"/>
        </w:rPr>
        <w:t xml:space="preserve">The </w:t>
      </w:r>
      <w:r w:rsidR="00DD4F00" w:rsidRPr="00B4612E" w:rsidDel="002C69EF">
        <w:rPr>
          <w:lang w:val="en-US"/>
        </w:rPr>
        <w:t xml:space="preserve">frequency domain resources </w:t>
      </w:r>
      <w:r w:rsidR="00653AE6" w:rsidRPr="00B4612E" w:rsidDel="002C69EF">
        <w:rPr>
          <w:lang w:val="en-US"/>
        </w:rPr>
        <w:t xml:space="preserve">for DL/UL transmission </w:t>
      </w:r>
      <w:r w:rsidR="004005F1" w:rsidDel="002C69EF">
        <w:rPr>
          <w:lang w:val="en-US"/>
        </w:rPr>
        <w:t xml:space="preserve">in SBFD slots/symbols </w:t>
      </w:r>
      <w:r w:rsidR="00653AE6" w:rsidRPr="00B4612E" w:rsidDel="002C69EF">
        <w:rPr>
          <w:lang w:val="en-US"/>
        </w:rPr>
        <w:t xml:space="preserve">may </w:t>
      </w:r>
      <w:r w:rsidR="004005F1" w:rsidDel="002C69EF">
        <w:rPr>
          <w:lang w:val="en-US"/>
        </w:rPr>
        <w:t xml:space="preserve">be different as compared to </w:t>
      </w:r>
      <w:r w:rsidR="00653AE6" w:rsidRPr="00B4612E" w:rsidDel="002C69EF">
        <w:rPr>
          <w:lang w:val="en-US"/>
        </w:rPr>
        <w:t xml:space="preserve">non-SBFD symbols. For transmission whose </w:t>
      </w:r>
      <w:r w:rsidR="004005F1" w:rsidDel="002C69EF">
        <w:rPr>
          <w:lang w:val="en-US"/>
        </w:rPr>
        <w:t>FDRA</w:t>
      </w:r>
      <w:r w:rsidR="00653AE6" w:rsidRPr="00B4612E" w:rsidDel="002C69EF">
        <w:rPr>
          <w:lang w:val="en-US"/>
        </w:rPr>
        <w:t xml:space="preserve"> is applicable</w:t>
      </w:r>
      <w:r w:rsidR="002D5C4E" w:rsidRPr="00B4612E" w:rsidDel="002C69EF">
        <w:rPr>
          <w:lang w:val="en-US"/>
        </w:rPr>
        <w:t xml:space="preserve"> </w:t>
      </w:r>
      <w:r w:rsidR="006F7EE8" w:rsidDel="002C69EF">
        <w:rPr>
          <w:lang w:val="en-US"/>
        </w:rPr>
        <w:t xml:space="preserve">in </w:t>
      </w:r>
      <w:r w:rsidR="005E4DEC" w:rsidDel="002C69EF">
        <w:rPr>
          <w:lang w:val="en-US"/>
        </w:rPr>
        <w:t xml:space="preserve">more than one </w:t>
      </w:r>
      <w:r w:rsidR="002D5C4E" w:rsidRPr="00B4612E" w:rsidDel="002C69EF">
        <w:rPr>
          <w:lang w:val="en-US"/>
        </w:rPr>
        <w:t>slot (</w:t>
      </w:r>
      <w:proofErr w:type="gramStart"/>
      <w:r w:rsidR="002D5C4E" w:rsidRPr="00B4612E" w:rsidDel="002C69EF">
        <w:rPr>
          <w:lang w:val="en-US"/>
        </w:rPr>
        <w:t>e.g.</w:t>
      </w:r>
      <w:proofErr w:type="gramEnd"/>
      <w:r w:rsidR="002D5C4E" w:rsidRPr="00B4612E" w:rsidDel="002C69EF">
        <w:rPr>
          <w:lang w:val="en-US"/>
        </w:rPr>
        <w:t xml:space="preserve"> semi-statically configured resource allocations,</w:t>
      </w:r>
      <w:r w:rsidR="00D261B0" w:rsidRPr="00B4612E" w:rsidDel="002C69EF">
        <w:rPr>
          <w:lang w:val="en-US"/>
        </w:rPr>
        <w:t xml:space="preserve"> multi-slot transmissions potentially including repetitions and/or frequency hopping, etc.)</w:t>
      </w:r>
      <w:r w:rsidR="005E4DEC" w:rsidDel="002C69EF">
        <w:rPr>
          <w:lang w:val="en-US"/>
        </w:rPr>
        <w:t xml:space="preserve">, </w:t>
      </w:r>
      <w:r w:rsidR="0052144A" w:rsidRPr="00B4612E" w:rsidDel="002C69EF">
        <w:rPr>
          <w:lang w:val="en-US"/>
        </w:rPr>
        <w:t xml:space="preserve">enhancements may be required to ensure </w:t>
      </w:r>
      <w:r w:rsidR="005E4DEC" w:rsidDel="002C69EF">
        <w:rPr>
          <w:lang w:val="en-US"/>
        </w:rPr>
        <w:t xml:space="preserve">that the </w:t>
      </w:r>
      <w:r w:rsidR="0052144A" w:rsidRPr="00B4612E" w:rsidDel="002C69EF">
        <w:rPr>
          <w:lang w:val="en-US"/>
        </w:rPr>
        <w:t>allocate</w:t>
      </w:r>
      <w:r w:rsidR="00282EBF" w:rsidRPr="00B4612E" w:rsidDel="002C69EF">
        <w:rPr>
          <w:lang w:val="en-US"/>
        </w:rPr>
        <w:t>d</w:t>
      </w:r>
      <w:r w:rsidR="0052144A" w:rsidRPr="00B4612E" w:rsidDel="002C69EF">
        <w:rPr>
          <w:lang w:val="en-US"/>
        </w:rPr>
        <w:t xml:space="preserve"> </w:t>
      </w:r>
      <w:r w:rsidR="00E87266" w:rsidRPr="00B4612E" w:rsidDel="002C69EF">
        <w:rPr>
          <w:lang w:val="en-US"/>
        </w:rPr>
        <w:t>frequency</w:t>
      </w:r>
      <w:r w:rsidR="0052144A" w:rsidRPr="00B4612E" w:rsidDel="002C69EF">
        <w:rPr>
          <w:lang w:val="en-US"/>
        </w:rPr>
        <w:t xml:space="preserve"> resources </w:t>
      </w:r>
      <w:r w:rsidR="00282EBF" w:rsidRPr="00B4612E" w:rsidDel="002C69EF">
        <w:rPr>
          <w:lang w:val="en-US"/>
        </w:rPr>
        <w:t xml:space="preserve">do not overlap with a subband </w:t>
      </w:r>
      <w:r w:rsidR="005E4DEC" w:rsidDel="002C69EF">
        <w:rPr>
          <w:lang w:val="en-US"/>
        </w:rPr>
        <w:t xml:space="preserve">which is </w:t>
      </w:r>
      <w:r w:rsidR="00282EBF" w:rsidRPr="00B4612E" w:rsidDel="002C69EF">
        <w:rPr>
          <w:lang w:val="en-US"/>
        </w:rPr>
        <w:t xml:space="preserve">configured for </w:t>
      </w:r>
      <w:r w:rsidR="005E4DEC" w:rsidDel="002C69EF">
        <w:rPr>
          <w:lang w:val="en-US"/>
        </w:rPr>
        <w:t>the</w:t>
      </w:r>
      <w:r w:rsidR="00282EBF" w:rsidRPr="00B4612E" w:rsidDel="002C69EF">
        <w:rPr>
          <w:lang w:val="en-US"/>
        </w:rPr>
        <w:t xml:space="preserve"> opposite link direction during SBFD slots/symbols. </w:t>
      </w:r>
    </w:p>
    <w:p w14:paraId="270244DD" w14:textId="52CD6C63" w:rsidR="00C668BE" w:rsidRDefault="00B4612E" w:rsidP="00DD7B8A">
      <w:pPr>
        <w:jc w:val="both"/>
        <w:rPr>
          <w:lang w:val="en-US"/>
        </w:rPr>
      </w:pPr>
      <w:r w:rsidDel="002C69EF">
        <w:rPr>
          <w:lang w:val="en-US"/>
        </w:rPr>
        <w:t>Enhancements</w:t>
      </w:r>
      <w:r w:rsidR="007F206C" w:rsidDel="002C69EF">
        <w:rPr>
          <w:lang w:val="en-US"/>
        </w:rPr>
        <w:t xml:space="preserve"> addressing </w:t>
      </w:r>
      <w:r w:rsidR="00691CE0" w:rsidDel="002C69EF">
        <w:rPr>
          <w:lang w:val="en-US"/>
        </w:rPr>
        <w:t xml:space="preserve">each of the </w:t>
      </w:r>
      <w:r w:rsidDel="002C69EF">
        <w:rPr>
          <w:lang w:val="en-US"/>
        </w:rPr>
        <w:t xml:space="preserve">above-described </w:t>
      </w:r>
      <w:r w:rsidR="00691CE0" w:rsidDel="002C69EF">
        <w:rPr>
          <w:lang w:val="en-US"/>
        </w:rPr>
        <w:t xml:space="preserve">problems are discussed in sections </w:t>
      </w:r>
      <w:r w:rsidR="00691CE0" w:rsidDel="002C69EF">
        <w:rPr>
          <w:lang w:val="en-US"/>
        </w:rPr>
        <w:fldChar w:fldCharType="begin"/>
      </w:r>
      <w:r w:rsidR="00691CE0" w:rsidDel="002C69EF">
        <w:rPr>
          <w:lang w:val="en-US"/>
        </w:rPr>
        <w:instrText xml:space="preserve"> REF _Ref118205572 \r \h </w:instrText>
      </w:r>
      <w:r w:rsidDel="002C69EF">
        <w:rPr>
          <w:lang w:val="en-US"/>
        </w:rPr>
        <w:instrText xml:space="preserve"> \* MERGEFORMAT </w:instrText>
      </w:r>
      <w:r w:rsidR="00691CE0" w:rsidDel="002C69EF">
        <w:rPr>
          <w:lang w:val="en-US"/>
        </w:rPr>
      </w:r>
      <w:r w:rsidR="00691CE0" w:rsidDel="002C69EF">
        <w:rPr>
          <w:lang w:val="en-US"/>
        </w:rPr>
        <w:fldChar w:fldCharType="separate"/>
      </w:r>
      <w:r w:rsidR="00C15552">
        <w:rPr>
          <w:lang w:val="en-US"/>
        </w:rPr>
        <w:t>2.3.3.1</w:t>
      </w:r>
      <w:r w:rsidR="00691CE0" w:rsidDel="002C69EF">
        <w:rPr>
          <w:lang w:val="en-US"/>
        </w:rPr>
        <w:fldChar w:fldCharType="end"/>
      </w:r>
      <w:r w:rsidR="00691CE0" w:rsidDel="002C69EF">
        <w:rPr>
          <w:lang w:val="en-US"/>
        </w:rPr>
        <w:t xml:space="preserve"> and </w:t>
      </w:r>
      <w:r w:rsidR="00691CE0" w:rsidDel="002C69EF">
        <w:rPr>
          <w:lang w:val="en-US"/>
        </w:rPr>
        <w:fldChar w:fldCharType="begin"/>
      </w:r>
      <w:r w:rsidR="00691CE0" w:rsidDel="002C69EF">
        <w:rPr>
          <w:lang w:val="en-US"/>
        </w:rPr>
        <w:instrText xml:space="preserve"> REF _Ref118205577 \r \h </w:instrText>
      </w:r>
      <w:r w:rsidDel="002C69EF">
        <w:rPr>
          <w:lang w:val="en-US"/>
        </w:rPr>
        <w:instrText xml:space="preserve"> \* MERGEFORMAT </w:instrText>
      </w:r>
      <w:r w:rsidR="00691CE0" w:rsidDel="002C69EF">
        <w:rPr>
          <w:lang w:val="en-US"/>
        </w:rPr>
      </w:r>
      <w:r w:rsidR="00691CE0" w:rsidDel="002C69EF">
        <w:rPr>
          <w:lang w:val="en-US"/>
        </w:rPr>
        <w:fldChar w:fldCharType="separate"/>
      </w:r>
      <w:r w:rsidR="00C15552">
        <w:rPr>
          <w:lang w:val="en-US"/>
        </w:rPr>
        <w:t>2.3.3.2</w:t>
      </w:r>
      <w:r w:rsidR="00691CE0" w:rsidDel="002C69EF">
        <w:rPr>
          <w:lang w:val="en-US"/>
        </w:rPr>
        <w:fldChar w:fldCharType="end"/>
      </w:r>
      <w:r w:rsidR="00091061" w:rsidDel="002C69EF">
        <w:rPr>
          <w:lang w:val="en-US"/>
        </w:rPr>
        <w:t>, respectively</w:t>
      </w:r>
      <w:r w:rsidR="00283873" w:rsidDel="002C69EF">
        <w:rPr>
          <w:lang w:val="en-US"/>
        </w:rPr>
        <w:t>.</w:t>
      </w:r>
      <w:r w:rsidR="00DD7B8A">
        <w:rPr>
          <w:lang w:val="en-US"/>
        </w:rPr>
        <w:t xml:space="preserve"> </w:t>
      </w:r>
    </w:p>
    <w:p w14:paraId="5200573D" w14:textId="68DE844F" w:rsidR="00DD7B8A" w:rsidRPr="003C37AF" w:rsidRDefault="00C668BE" w:rsidP="005F69B8">
      <w:pPr>
        <w:pStyle w:val="Heading4"/>
        <w:rPr>
          <w:lang w:val="en-US"/>
        </w:rPr>
      </w:pPr>
      <w:r>
        <w:t xml:space="preserve">Frequency domain resource allocation </w:t>
      </w:r>
    </w:p>
    <w:p w14:paraId="1BED28AF" w14:textId="4D513715" w:rsidR="006316BD" w:rsidRPr="006F7EE8" w:rsidRDefault="006316BD" w:rsidP="00843F2A">
      <w:pPr>
        <w:pStyle w:val="Heading5"/>
        <w:rPr>
          <w:lang w:val="en-US"/>
        </w:rPr>
      </w:pPr>
      <w:r w:rsidRPr="006F7EE8">
        <w:rPr>
          <w:lang w:val="en-US"/>
        </w:rPr>
        <w:t>PDSCH</w:t>
      </w:r>
    </w:p>
    <w:p w14:paraId="70DE3FE6" w14:textId="1BC70118" w:rsidR="00D560A1" w:rsidRPr="006256DF" w:rsidRDefault="00D560A1" w:rsidP="00D560A1">
      <w:pPr>
        <w:spacing w:after="120"/>
        <w:rPr>
          <w:lang w:val="en-US"/>
        </w:rPr>
      </w:pPr>
      <w:r>
        <w:rPr>
          <w:lang w:val="en-US"/>
        </w:rPr>
        <w:t xml:space="preserve">NR supports two types of </w:t>
      </w:r>
      <w:r w:rsidRPr="006256DF">
        <w:rPr>
          <w:lang w:val="en-US"/>
        </w:rPr>
        <w:t xml:space="preserve">Frequency </w:t>
      </w:r>
      <w:r w:rsidR="006316BD">
        <w:rPr>
          <w:lang w:val="en-US"/>
        </w:rPr>
        <w:t>D</w:t>
      </w:r>
      <w:r w:rsidRPr="006256DF">
        <w:rPr>
          <w:lang w:val="en-US"/>
        </w:rPr>
        <w:t xml:space="preserve">omain </w:t>
      </w:r>
      <w:r w:rsidR="006316BD">
        <w:rPr>
          <w:lang w:val="en-US"/>
        </w:rPr>
        <w:t>R</w:t>
      </w:r>
      <w:r w:rsidRPr="006256DF">
        <w:rPr>
          <w:lang w:val="en-US"/>
        </w:rPr>
        <w:t xml:space="preserve">esource </w:t>
      </w:r>
      <w:r w:rsidR="006316BD">
        <w:rPr>
          <w:lang w:val="en-US"/>
        </w:rPr>
        <w:t>A</w:t>
      </w:r>
      <w:r w:rsidRPr="006256DF">
        <w:rPr>
          <w:lang w:val="en-US"/>
        </w:rPr>
        <w:t>llocation</w:t>
      </w:r>
      <w:r>
        <w:rPr>
          <w:lang w:val="en-US"/>
        </w:rPr>
        <w:t xml:space="preserve"> (FDRA):</w:t>
      </w:r>
      <w:r w:rsidRPr="006256DF">
        <w:rPr>
          <w:lang w:val="en-US"/>
        </w:rPr>
        <w:t xml:space="preserve"> </w:t>
      </w:r>
    </w:p>
    <w:p w14:paraId="5C3686B0" w14:textId="405068D2" w:rsidR="004800C9" w:rsidRDefault="00D560A1">
      <w:pPr>
        <w:pStyle w:val="ListParagraph"/>
        <w:numPr>
          <w:ilvl w:val="0"/>
          <w:numId w:val="26"/>
        </w:numPr>
        <w:spacing w:after="120"/>
        <w:jc w:val="both"/>
        <w:rPr>
          <w:lang w:val="en-US"/>
        </w:rPr>
      </w:pPr>
      <w:r w:rsidRPr="00A56336">
        <w:rPr>
          <w:sz w:val="20"/>
          <w:szCs w:val="20"/>
          <w:lang w:val="en-US"/>
        </w:rPr>
        <w:t xml:space="preserve">Type 0 FDRA </w:t>
      </w:r>
      <w:r w:rsidRPr="006F7EE8">
        <w:rPr>
          <w:bCs/>
          <w:sz w:val="20"/>
          <w:szCs w:val="20"/>
          <w:lang w:val="en-US"/>
        </w:rPr>
        <w:t>assumes</w:t>
      </w:r>
      <w:r w:rsidRPr="00A56336">
        <w:rPr>
          <w:sz w:val="20"/>
          <w:szCs w:val="20"/>
          <w:lang w:val="en-US"/>
        </w:rPr>
        <w:t xml:space="preserve"> RBG (Resource Block Group) based resource allocation. The BWP is divided into </w:t>
      </w:r>
      <w:proofErr w:type="gramStart"/>
      <w:r w:rsidRPr="00A56336">
        <w:rPr>
          <w:sz w:val="20"/>
          <w:szCs w:val="20"/>
          <w:lang w:val="en-US"/>
        </w:rPr>
        <w:t>RBGs</w:t>
      </w:r>
      <w:proofErr w:type="gramEnd"/>
      <w:r w:rsidRPr="00A56336">
        <w:rPr>
          <w:sz w:val="20"/>
          <w:szCs w:val="20"/>
          <w:lang w:val="en-US"/>
        </w:rPr>
        <w:t xml:space="preserve"> and the UE can be allocated one or multiple </w:t>
      </w:r>
      <w:r>
        <w:rPr>
          <w:sz w:val="20"/>
          <w:szCs w:val="20"/>
          <w:lang w:val="en-US"/>
        </w:rPr>
        <w:t>(</w:t>
      </w:r>
      <w:r w:rsidRPr="00A56336">
        <w:rPr>
          <w:sz w:val="20"/>
          <w:szCs w:val="20"/>
          <w:lang w:val="en-US"/>
        </w:rPr>
        <w:t>conti</w:t>
      </w:r>
      <w:r>
        <w:rPr>
          <w:sz w:val="20"/>
          <w:szCs w:val="20"/>
          <w:lang w:val="en-US"/>
        </w:rPr>
        <w:t>g</w:t>
      </w:r>
      <w:r w:rsidRPr="00A56336">
        <w:rPr>
          <w:sz w:val="20"/>
          <w:szCs w:val="20"/>
          <w:lang w:val="en-US"/>
        </w:rPr>
        <w:t>uous or non-conti</w:t>
      </w:r>
      <w:r>
        <w:rPr>
          <w:sz w:val="20"/>
          <w:szCs w:val="20"/>
          <w:lang w:val="en-US"/>
        </w:rPr>
        <w:t>g</w:t>
      </w:r>
      <w:r w:rsidRPr="00A56336">
        <w:rPr>
          <w:sz w:val="20"/>
          <w:szCs w:val="20"/>
          <w:lang w:val="en-US"/>
        </w:rPr>
        <w:t>uous</w:t>
      </w:r>
      <w:r>
        <w:rPr>
          <w:sz w:val="20"/>
          <w:szCs w:val="20"/>
          <w:lang w:val="en-US"/>
        </w:rPr>
        <w:t>)</w:t>
      </w:r>
      <w:r w:rsidRPr="00A56336">
        <w:rPr>
          <w:sz w:val="20"/>
          <w:szCs w:val="20"/>
          <w:lang w:val="en-US"/>
        </w:rPr>
        <w:t xml:space="preserve"> RBGs. The first and the last RBG in a BWP may be with size less than the nominal RBG size P, while other RBG in the BWP will be with size P. The </w:t>
      </w:r>
      <w:r w:rsidRPr="00A56336">
        <w:rPr>
          <w:color w:val="000000"/>
          <w:sz w:val="20"/>
          <w:szCs w:val="20"/>
          <w:lang w:val="en-US"/>
        </w:rPr>
        <w:t xml:space="preserve">nominal RBG size </w:t>
      </w:r>
      <w:r w:rsidRPr="00A56336">
        <w:rPr>
          <w:i/>
          <w:color w:val="000000"/>
          <w:sz w:val="20"/>
          <w:szCs w:val="20"/>
          <w:lang w:val="en-US"/>
        </w:rPr>
        <w:t>P</w:t>
      </w:r>
      <w:r w:rsidRPr="00A56336">
        <w:rPr>
          <w:iCs/>
          <w:color w:val="000000"/>
          <w:sz w:val="20"/>
          <w:szCs w:val="20"/>
          <w:lang w:val="en-US"/>
        </w:rPr>
        <w:t xml:space="preserve"> can be up to 16 PRBs, depending on the BWP size</w:t>
      </w:r>
      <w:r w:rsidR="004D0469">
        <w:rPr>
          <w:iCs/>
          <w:color w:val="000000"/>
          <w:sz w:val="20"/>
          <w:szCs w:val="20"/>
          <w:lang w:val="en-US"/>
        </w:rPr>
        <w:t>. The RBG size P is given by</w:t>
      </w:r>
      <w:r w:rsidR="004800C9" w:rsidRPr="006F7EE8">
        <w:rPr>
          <w:iCs/>
          <w:color w:val="000000"/>
          <w:sz w:val="20"/>
          <w:szCs w:val="20"/>
          <w:lang w:val="en-US"/>
        </w:rPr>
        <w:t xml:space="preserve"> Table 5.1.2.2.1-1 in TS 38.214</w:t>
      </w:r>
      <w:r w:rsidR="004D0469">
        <w:rPr>
          <w:iCs/>
          <w:color w:val="000000"/>
          <w:sz w:val="20"/>
          <w:szCs w:val="20"/>
          <w:lang w:val="en-US"/>
        </w:rPr>
        <w:t>, copied below</w:t>
      </w:r>
      <w:r w:rsidR="004800C9" w:rsidRPr="006F7EE8">
        <w:rPr>
          <w:iCs/>
          <w:color w:val="000000"/>
          <w:sz w:val="20"/>
          <w:szCs w:val="20"/>
          <w:lang w:val="en-US"/>
        </w:rPr>
        <w:t>:</w:t>
      </w:r>
      <w:r w:rsidR="004800C9">
        <w:rPr>
          <w:lang w:val="en-US"/>
        </w:rPr>
        <w:t xml:space="preserve"> </w:t>
      </w:r>
    </w:p>
    <w:p w14:paraId="32D9FD35" w14:textId="77777777" w:rsidR="004800C9" w:rsidRPr="006F7EE8" w:rsidRDefault="004800C9" w:rsidP="004800C9">
      <w:pPr>
        <w:pStyle w:val="ListParagraph"/>
        <w:keepNext/>
        <w:spacing w:after="120"/>
        <w:jc w:val="center"/>
        <w:rPr>
          <w:sz w:val="22"/>
          <w:szCs w:val="22"/>
        </w:rPr>
      </w:pPr>
      <w:proofErr w:type="spellStart"/>
      <w:r w:rsidRPr="006F7EE8">
        <w:rPr>
          <w:color w:val="000000"/>
          <w:sz w:val="22"/>
          <w:szCs w:val="22"/>
        </w:rPr>
        <w:t>Nominal</w:t>
      </w:r>
      <w:proofErr w:type="spellEnd"/>
      <w:r w:rsidRPr="006F7EE8">
        <w:rPr>
          <w:color w:val="000000"/>
          <w:sz w:val="22"/>
          <w:szCs w:val="22"/>
        </w:rPr>
        <w:t xml:space="preserve"> RBG </w:t>
      </w:r>
      <w:proofErr w:type="spellStart"/>
      <w:r w:rsidRPr="006F7EE8">
        <w:rPr>
          <w:color w:val="000000"/>
          <w:sz w:val="22"/>
          <w:szCs w:val="22"/>
        </w:rPr>
        <w:t>size</w:t>
      </w:r>
      <w:proofErr w:type="spellEnd"/>
      <w:r w:rsidRPr="006F7EE8">
        <w:rPr>
          <w:color w:val="000000"/>
          <w:sz w:val="22"/>
          <w:szCs w:val="22"/>
        </w:rPr>
        <w:t xml:space="preserve"> </w:t>
      </w:r>
      <w:r w:rsidRPr="006F7EE8">
        <w:rPr>
          <w:i/>
          <w:color w:val="000000"/>
          <w:sz w:val="22"/>
          <w:szCs w:val="22"/>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4800C9" w:rsidRPr="0048482F" w14:paraId="3C8F1491" w14:textId="77777777" w:rsidTr="00E36974">
        <w:trPr>
          <w:jc w:val="center"/>
        </w:trPr>
        <w:tc>
          <w:tcPr>
            <w:tcW w:w="2805" w:type="dxa"/>
            <w:shd w:val="clear" w:color="auto" w:fill="auto"/>
          </w:tcPr>
          <w:p w14:paraId="6FD3A9FA" w14:textId="77777777" w:rsidR="004800C9" w:rsidRPr="00E17FE7" w:rsidRDefault="004800C9" w:rsidP="00E36974">
            <w:pPr>
              <w:pStyle w:val="TAH"/>
              <w:rPr>
                <w:rFonts w:eastAsia="Batang"/>
                <w:color w:val="000000"/>
              </w:rPr>
            </w:pPr>
            <w:r w:rsidRPr="00E17FE7">
              <w:rPr>
                <w:rFonts w:eastAsia="Batang"/>
                <w:color w:val="000000"/>
              </w:rPr>
              <w:t>Bandwidth Part Size</w:t>
            </w:r>
          </w:p>
        </w:tc>
        <w:tc>
          <w:tcPr>
            <w:tcW w:w="2328" w:type="dxa"/>
            <w:shd w:val="clear" w:color="auto" w:fill="auto"/>
          </w:tcPr>
          <w:p w14:paraId="262CBFDA" w14:textId="77777777" w:rsidR="004800C9" w:rsidRPr="00E17FE7" w:rsidRDefault="004800C9" w:rsidP="00E36974">
            <w:pPr>
              <w:pStyle w:val="TAH"/>
              <w:rPr>
                <w:rFonts w:eastAsia="Batang"/>
                <w:color w:val="000000"/>
              </w:rPr>
            </w:pPr>
            <w:r w:rsidRPr="00E17FE7">
              <w:rPr>
                <w:rFonts w:eastAsia="Batang"/>
                <w:color w:val="000000"/>
              </w:rPr>
              <w:t>Configuration 1</w:t>
            </w:r>
          </w:p>
        </w:tc>
        <w:tc>
          <w:tcPr>
            <w:tcW w:w="2328" w:type="dxa"/>
            <w:shd w:val="clear" w:color="auto" w:fill="auto"/>
          </w:tcPr>
          <w:p w14:paraId="1DC8D48E" w14:textId="77777777" w:rsidR="004800C9" w:rsidRPr="00E17FE7" w:rsidRDefault="004800C9" w:rsidP="00E36974">
            <w:pPr>
              <w:pStyle w:val="TAH"/>
              <w:rPr>
                <w:rFonts w:eastAsia="Batang"/>
                <w:color w:val="000000"/>
              </w:rPr>
            </w:pPr>
            <w:r w:rsidRPr="00E17FE7">
              <w:rPr>
                <w:rFonts w:eastAsia="Batang"/>
                <w:color w:val="000000"/>
              </w:rPr>
              <w:t>Configuration 2</w:t>
            </w:r>
          </w:p>
        </w:tc>
      </w:tr>
      <w:tr w:rsidR="004800C9" w:rsidRPr="0048482F" w14:paraId="72036DA9" w14:textId="77777777" w:rsidTr="00E36974">
        <w:trPr>
          <w:jc w:val="center"/>
        </w:trPr>
        <w:tc>
          <w:tcPr>
            <w:tcW w:w="2805" w:type="dxa"/>
            <w:shd w:val="clear" w:color="auto" w:fill="auto"/>
          </w:tcPr>
          <w:p w14:paraId="5814D55E" w14:textId="77777777" w:rsidR="004800C9" w:rsidRPr="00E17FE7" w:rsidRDefault="004800C9" w:rsidP="00E36974">
            <w:pPr>
              <w:pStyle w:val="TAC"/>
              <w:rPr>
                <w:rFonts w:eastAsia="Batang"/>
                <w:color w:val="000000"/>
              </w:rPr>
            </w:pPr>
            <w:r w:rsidRPr="00E17FE7">
              <w:rPr>
                <w:rFonts w:eastAsia="Batang"/>
                <w:color w:val="000000"/>
              </w:rPr>
              <w:t>1 – 36</w:t>
            </w:r>
          </w:p>
        </w:tc>
        <w:tc>
          <w:tcPr>
            <w:tcW w:w="2328" w:type="dxa"/>
            <w:shd w:val="clear" w:color="auto" w:fill="auto"/>
          </w:tcPr>
          <w:p w14:paraId="324A570F" w14:textId="77777777" w:rsidR="004800C9" w:rsidRPr="00E17FE7" w:rsidRDefault="004800C9" w:rsidP="00E36974">
            <w:pPr>
              <w:pStyle w:val="TAC"/>
              <w:rPr>
                <w:rFonts w:eastAsia="Batang"/>
                <w:color w:val="000000"/>
              </w:rPr>
            </w:pPr>
            <w:r w:rsidRPr="00E17FE7">
              <w:rPr>
                <w:color w:val="000000"/>
              </w:rPr>
              <w:t>2</w:t>
            </w:r>
          </w:p>
        </w:tc>
        <w:tc>
          <w:tcPr>
            <w:tcW w:w="2328" w:type="dxa"/>
            <w:shd w:val="clear" w:color="auto" w:fill="auto"/>
          </w:tcPr>
          <w:p w14:paraId="68FAA11B" w14:textId="77777777" w:rsidR="004800C9" w:rsidRPr="00E17FE7" w:rsidRDefault="004800C9" w:rsidP="00E36974">
            <w:pPr>
              <w:pStyle w:val="TAC"/>
              <w:rPr>
                <w:rFonts w:eastAsia="Batang"/>
                <w:color w:val="000000"/>
              </w:rPr>
            </w:pPr>
            <w:r w:rsidRPr="00E17FE7">
              <w:rPr>
                <w:color w:val="000000"/>
              </w:rPr>
              <w:t>4</w:t>
            </w:r>
          </w:p>
        </w:tc>
      </w:tr>
      <w:tr w:rsidR="004800C9" w:rsidRPr="0048482F" w14:paraId="062AB75C" w14:textId="77777777" w:rsidTr="00E36974">
        <w:trPr>
          <w:jc w:val="center"/>
        </w:trPr>
        <w:tc>
          <w:tcPr>
            <w:tcW w:w="2805" w:type="dxa"/>
            <w:shd w:val="clear" w:color="auto" w:fill="auto"/>
          </w:tcPr>
          <w:p w14:paraId="0892D8F8" w14:textId="77777777" w:rsidR="004800C9" w:rsidRPr="00E17FE7" w:rsidRDefault="004800C9" w:rsidP="00E36974">
            <w:pPr>
              <w:pStyle w:val="TAC"/>
              <w:rPr>
                <w:rFonts w:eastAsia="Batang"/>
                <w:color w:val="000000"/>
              </w:rPr>
            </w:pPr>
            <w:r w:rsidRPr="00E17FE7">
              <w:rPr>
                <w:rFonts w:eastAsia="Batang"/>
                <w:color w:val="000000"/>
              </w:rPr>
              <w:t>37 – 72</w:t>
            </w:r>
          </w:p>
        </w:tc>
        <w:tc>
          <w:tcPr>
            <w:tcW w:w="2328" w:type="dxa"/>
            <w:shd w:val="clear" w:color="auto" w:fill="auto"/>
          </w:tcPr>
          <w:p w14:paraId="049A5D37" w14:textId="77777777" w:rsidR="004800C9" w:rsidRPr="00E17FE7" w:rsidRDefault="004800C9" w:rsidP="00E36974">
            <w:pPr>
              <w:pStyle w:val="TAC"/>
              <w:rPr>
                <w:rFonts w:eastAsia="Batang"/>
                <w:color w:val="000000"/>
              </w:rPr>
            </w:pPr>
            <w:r w:rsidRPr="00E17FE7">
              <w:rPr>
                <w:color w:val="000000"/>
              </w:rPr>
              <w:t>4</w:t>
            </w:r>
          </w:p>
        </w:tc>
        <w:tc>
          <w:tcPr>
            <w:tcW w:w="2328" w:type="dxa"/>
            <w:shd w:val="clear" w:color="auto" w:fill="auto"/>
          </w:tcPr>
          <w:p w14:paraId="30F6C685" w14:textId="77777777" w:rsidR="004800C9" w:rsidRPr="00E17FE7" w:rsidRDefault="004800C9" w:rsidP="00E36974">
            <w:pPr>
              <w:pStyle w:val="TAC"/>
              <w:rPr>
                <w:rFonts w:eastAsia="Batang"/>
                <w:color w:val="000000"/>
              </w:rPr>
            </w:pPr>
            <w:r w:rsidRPr="00E17FE7">
              <w:rPr>
                <w:color w:val="000000"/>
              </w:rPr>
              <w:t>8</w:t>
            </w:r>
          </w:p>
        </w:tc>
      </w:tr>
      <w:tr w:rsidR="004800C9" w:rsidRPr="0048482F" w14:paraId="5B8A9342" w14:textId="77777777" w:rsidTr="00E36974">
        <w:trPr>
          <w:jc w:val="center"/>
        </w:trPr>
        <w:tc>
          <w:tcPr>
            <w:tcW w:w="2805" w:type="dxa"/>
            <w:shd w:val="clear" w:color="auto" w:fill="auto"/>
          </w:tcPr>
          <w:p w14:paraId="2FC8EC23" w14:textId="77777777" w:rsidR="004800C9" w:rsidRPr="00E17FE7" w:rsidRDefault="004800C9" w:rsidP="00E36974">
            <w:pPr>
              <w:pStyle w:val="TAC"/>
              <w:rPr>
                <w:rFonts w:eastAsia="Batang"/>
                <w:color w:val="000000"/>
              </w:rPr>
            </w:pPr>
            <w:r w:rsidRPr="00E17FE7">
              <w:rPr>
                <w:rFonts w:eastAsia="Batang"/>
                <w:color w:val="000000"/>
              </w:rPr>
              <w:t>73 – 144</w:t>
            </w:r>
          </w:p>
        </w:tc>
        <w:tc>
          <w:tcPr>
            <w:tcW w:w="2328" w:type="dxa"/>
            <w:shd w:val="clear" w:color="auto" w:fill="auto"/>
          </w:tcPr>
          <w:p w14:paraId="4A17B888" w14:textId="77777777" w:rsidR="004800C9" w:rsidRPr="00E17FE7" w:rsidRDefault="004800C9" w:rsidP="00E36974">
            <w:pPr>
              <w:pStyle w:val="TAC"/>
              <w:rPr>
                <w:rFonts w:eastAsia="Batang"/>
                <w:color w:val="000000"/>
              </w:rPr>
            </w:pPr>
            <w:r w:rsidRPr="00E17FE7">
              <w:rPr>
                <w:color w:val="000000"/>
              </w:rPr>
              <w:t>8</w:t>
            </w:r>
          </w:p>
        </w:tc>
        <w:tc>
          <w:tcPr>
            <w:tcW w:w="2328" w:type="dxa"/>
            <w:shd w:val="clear" w:color="auto" w:fill="auto"/>
          </w:tcPr>
          <w:p w14:paraId="0B0F0DA1" w14:textId="77777777" w:rsidR="004800C9" w:rsidRPr="00E17FE7" w:rsidRDefault="004800C9" w:rsidP="00E36974">
            <w:pPr>
              <w:pStyle w:val="TAC"/>
              <w:rPr>
                <w:rFonts w:eastAsia="Batang"/>
                <w:color w:val="000000"/>
              </w:rPr>
            </w:pPr>
            <w:r w:rsidRPr="00E17FE7">
              <w:rPr>
                <w:color w:val="000000"/>
              </w:rPr>
              <w:t>16</w:t>
            </w:r>
          </w:p>
        </w:tc>
      </w:tr>
      <w:tr w:rsidR="004800C9" w:rsidRPr="0048482F" w14:paraId="0A525038" w14:textId="77777777" w:rsidTr="00E36974">
        <w:trPr>
          <w:jc w:val="center"/>
        </w:trPr>
        <w:tc>
          <w:tcPr>
            <w:tcW w:w="2805" w:type="dxa"/>
            <w:shd w:val="clear" w:color="auto" w:fill="auto"/>
          </w:tcPr>
          <w:p w14:paraId="6E402689" w14:textId="77777777" w:rsidR="004800C9" w:rsidRPr="00E17FE7" w:rsidRDefault="004800C9" w:rsidP="00E36974">
            <w:pPr>
              <w:pStyle w:val="TAC"/>
              <w:rPr>
                <w:rFonts w:eastAsia="Batang"/>
                <w:color w:val="000000"/>
              </w:rPr>
            </w:pPr>
            <w:r w:rsidRPr="00E17FE7">
              <w:rPr>
                <w:rFonts w:eastAsia="Batang"/>
                <w:color w:val="000000"/>
              </w:rPr>
              <w:t>145 – 275</w:t>
            </w:r>
          </w:p>
        </w:tc>
        <w:tc>
          <w:tcPr>
            <w:tcW w:w="2328" w:type="dxa"/>
            <w:shd w:val="clear" w:color="auto" w:fill="auto"/>
          </w:tcPr>
          <w:p w14:paraId="2E1354A0" w14:textId="77777777" w:rsidR="004800C9" w:rsidRPr="00E17FE7" w:rsidRDefault="004800C9" w:rsidP="00E36974">
            <w:pPr>
              <w:pStyle w:val="TAC"/>
              <w:rPr>
                <w:rFonts w:eastAsia="Batang"/>
                <w:color w:val="000000"/>
              </w:rPr>
            </w:pPr>
            <w:r w:rsidRPr="00E17FE7">
              <w:rPr>
                <w:color w:val="000000"/>
              </w:rPr>
              <w:t>16</w:t>
            </w:r>
          </w:p>
        </w:tc>
        <w:tc>
          <w:tcPr>
            <w:tcW w:w="2328" w:type="dxa"/>
            <w:shd w:val="clear" w:color="auto" w:fill="auto"/>
          </w:tcPr>
          <w:p w14:paraId="36A24588" w14:textId="77777777" w:rsidR="004800C9" w:rsidRPr="00E17FE7" w:rsidRDefault="004800C9" w:rsidP="00E36974">
            <w:pPr>
              <w:pStyle w:val="TAC"/>
              <w:rPr>
                <w:rFonts w:eastAsia="Batang"/>
                <w:color w:val="000000"/>
              </w:rPr>
            </w:pPr>
            <w:r w:rsidRPr="00E17FE7">
              <w:rPr>
                <w:color w:val="000000"/>
              </w:rPr>
              <w:t>16</w:t>
            </w:r>
          </w:p>
        </w:tc>
      </w:tr>
    </w:tbl>
    <w:p w14:paraId="16B5A97B" w14:textId="77777777" w:rsidR="00D70CF6" w:rsidRPr="000A645E" w:rsidRDefault="00D70CF6" w:rsidP="006F7EE8">
      <w:pPr>
        <w:spacing w:after="120"/>
        <w:jc w:val="both"/>
        <w:rPr>
          <w:lang w:val="en-US"/>
        </w:rPr>
      </w:pPr>
    </w:p>
    <w:p w14:paraId="38E6EF50" w14:textId="6BFAE1A5" w:rsidR="00D560A1" w:rsidRPr="00E5437B" w:rsidRDefault="00D560A1">
      <w:pPr>
        <w:pStyle w:val="ListParagraph"/>
        <w:numPr>
          <w:ilvl w:val="0"/>
          <w:numId w:val="26"/>
        </w:numPr>
        <w:spacing w:after="120"/>
        <w:jc w:val="both"/>
        <w:rPr>
          <w:rFonts w:eastAsia="Batang"/>
          <w:bCs/>
          <w:color w:val="000000"/>
          <w:sz w:val="20"/>
          <w:szCs w:val="20"/>
          <w:lang w:val="en-US"/>
        </w:rPr>
      </w:pPr>
      <w:r w:rsidRPr="00CB35F3">
        <w:rPr>
          <w:bCs/>
          <w:sz w:val="20"/>
          <w:szCs w:val="20"/>
          <w:lang w:val="en-US"/>
        </w:rPr>
        <w:t>Type 1 FDRA</w:t>
      </w:r>
      <w:r w:rsidRPr="00CB35F3">
        <w:rPr>
          <w:b/>
          <w:bCs/>
          <w:sz w:val="20"/>
          <w:szCs w:val="20"/>
          <w:lang w:val="en-US"/>
        </w:rPr>
        <w:t xml:space="preserve">, </w:t>
      </w:r>
      <w:r w:rsidRPr="00CB35F3">
        <w:rPr>
          <w:bCs/>
          <w:sz w:val="20"/>
          <w:szCs w:val="20"/>
          <w:lang w:val="en-US"/>
        </w:rPr>
        <w:t>the UE</w:t>
      </w:r>
      <w:r w:rsidRPr="00CB35F3">
        <w:rPr>
          <w:b/>
          <w:bCs/>
          <w:sz w:val="20"/>
          <w:szCs w:val="20"/>
          <w:lang w:val="en-US"/>
        </w:rPr>
        <w:t xml:space="preserve"> </w:t>
      </w:r>
      <w:r w:rsidRPr="00CB35F3">
        <w:rPr>
          <w:bCs/>
          <w:sz w:val="20"/>
          <w:szCs w:val="20"/>
          <w:lang w:val="en-US"/>
        </w:rPr>
        <w:t>is allocated over a set of contiguous</w:t>
      </w:r>
      <w:r w:rsidR="00BF1EC2" w:rsidRPr="00CB35F3">
        <w:rPr>
          <w:bCs/>
          <w:sz w:val="20"/>
          <w:szCs w:val="20"/>
          <w:lang w:val="en-US"/>
        </w:rPr>
        <w:t xml:space="preserve"> non-interleaved or interleaved</w:t>
      </w:r>
      <w:r w:rsidRPr="00CB35F3">
        <w:rPr>
          <w:bCs/>
          <w:sz w:val="20"/>
          <w:szCs w:val="20"/>
          <w:lang w:val="en-US"/>
        </w:rPr>
        <w:t xml:space="preserve"> </w:t>
      </w:r>
      <w:r w:rsidR="00BF1EC2" w:rsidRPr="00CB35F3">
        <w:rPr>
          <w:bCs/>
          <w:sz w:val="20"/>
          <w:szCs w:val="20"/>
          <w:lang w:val="en-US"/>
        </w:rPr>
        <w:t xml:space="preserve">virtual </w:t>
      </w:r>
      <w:r w:rsidRPr="00CB35F3">
        <w:rPr>
          <w:bCs/>
          <w:sz w:val="20"/>
          <w:szCs w:val="20"/>
          <w:lang w:val="en-US"/>
        </w:rPr>
        <w:t xml:space="preserve">RBs within the UE BWP. </w:t>
      </w:r>
      <w:r w:rsidR="00E5437B">
        <w:rPr>
          <w:bCs/>
          <w:sz w:val="20"/>
          <w:szCs w:val="20"/>
          <w:lang w:val="en-US"/>
        </w:rPr>
        <w:t>A type 1 RA field consists of a</w:t>
      </w:r>
      <w:r w:rsidRPr="00E5437B">
        <w:rPr>
          <w:bCs/>
          <w:sz w:val="20"/>
          <w:szCs w:val="20"/>
          <w:lang w:val="en-US"/>
        </w:rPr>
        <w:t xml:space="preserve"> </w:t>
      </w:r>
      <w:r w:rsidRPr="00E5437B">
        <w:rPr>
          <w:sz w:val="20"/>
          <w:szCs w:val="20"/>
          <w:lang w:val="en-US"/>
        </w:rPr>
        <w:t>RIV</w:t>
      </w:r>
      <w:r w:rsidRPr="00E5437B">
        <w:rPr>
          <w:bCs/>
          <w:sz w:val="20"/>
          <w:szCs w:val="20"/>
          <w:lang w:val="en-US"/>
        </w:rPr>
        <w:t xml:space="preserve"> </w:t>
      </w:r>
      <w:r w:rsidRPr="00E5437B">
        <w:rPr>
          <w:sz w:val="20"/>
          <w:szCs w:val="20"/>
          <w:lang w:val="en-US"/>
        </w:rPr>
        <w:t>(</w:t>
      </w:r>
      <w:r w:rsidRPr="00E5437B">
        <w:rPr>
          <w:bCs/>
          <w:sz w:val="20"/>
          <w:szCs w:val="20"/>
          <w:lang w:val="en-US"/>
        </w:rPr>
        <w:t>Resource Indication</w:t>
      </w:r>
      <w:r w:rsidRPr="00E5437B">
        <w:rPr>
          <w:sz w:val="20"/>
          <w:szCs w:val="20"/>
          <w:lang w:val="en-US"/>
        </w:rPr>
        <w:t xml:space="preserve"> Value) </w:t>
      </w:r>
      <w:r w:rsidR="00A81CA9">
        <w:rPr>
          <w:color w:val="000000"/>
          <w:sz w:val="20"/>
          <w:szCs w:val="20"/>
          <w:lang w:val="en-US"/>
        </w:rPr>
        <w:t xml:space="preserve">indicating the </w:t>
      </w:r>
      <w:r w:rsidRPr="00E5437B">
        <w:rPr>
          <w:color w:val="000000"/>
          <w:sz w:val="20"/>
          <w:szCs w:val="20"/>
          <w:lang w:val="en-US"/>
        </w:rPr>
        <w:t>s</w:t>
      </w:r>
      <w:r w:rsidRPr="00E5437B">
        <w:rPr>
          <w:sz w:val="20"/>
          <w:szCs w:val="20"/>
          <w:lang w:val="en-US"/>
        </w:rPr>
        <w:t>tart</w:t>
      </w:r>
      <w:r w:rsidR="0036143C">
        <w:rPr>
          <w:sz w:val="20"/>
          <w:szCs w:val="20"/>
          <w:lang w:val="en-US"/>
        </w:rPr>
        <w:t>ing</w:t>
      </w:r>
      <w:r w:rsidRPr="00E5437B">
        <w:rPr>
          <w:sz w:val="20"/>
          <w:szCs w:val="20"/>
          <w:lang w:val="en-US"/>
        </w:rPr>
        <w:t xml:space="preserve"> </w:t>
      </w:r>
      <w:r w:rsidR="00800FB0">
        <w:rPr>
          <w:sz w:val="20"/>
          <w:szCs w:val="20"/>
          <w:lang w:val="en-US"/>
        </w:rPr>
        <w:t xml:space="preserve">virtual RB </w:t>
      </w:r>
      <w:r w:rsidR="00232462">
        <w:rPr>
          <w:sz w:val="20"/>
          <w:szCs w:val="20"/>
          <w:lang w:val="en-US"/>
        </w:rPr>
        <w:t>(</w:t>
      </w:r>
      <w:proofErr w:type="spellStart"/>
      <w:r w:rsidR="00232462">
        <w:rPr>
          <w:sz w:val="20"/>
          <w:szCs w:val="20"/>
          <w:lang w:val="en-US"/>
        </w:rPr>
        <w:t>RB</w:t>
      </w:r>
      <w:r w:rsidR="00232462" w:rsidRPr="00C94CE7">
        <w:rPr>
          <w:sz w:val="20"/>
          <w:szCs w:val="20"/>
          <w:vertAlign w:val="subscript"/>
          <w:lang w:val="en-US"/>
        </w:rPr>
        <w:t>start</w:t>
      </w:r>
      <w:proofErr w:type="spellEnd"/>
      <w:r w:rsidR="00232462">
        <w:rPr>
          <w:sz w:val="20"/>
          <w:szCs w:val="20"/>
          <w:lang w:val="en-US"/>
        </w:rPr>
        <w:t xml:space="preserve">) </w:t>
      </w:r>
      <w:r w:rsidRPr="00E5437B">
        <w:rPr>
          <w:sz w:val="20"/>
          <w:szCs w:val="20"/>
          <w:lang w:val="en-US"/>
        </w:rPr>
        <w:t xml:space="preserve">and the number of </w:t>
      </w:r>
      <w:r w:rsidR="00800FB0">
        <w:rPr>
          <w:sz w:val="20"/>
          <w:szCs w:val="20"/>
          <w:lang w:val="en-US"/>
        </w:rPr>
        <w:t>contiguous</w:t>
      </w:r>
      <w:r w:rsidR="00800FB0" w:rsidRPr="00E5437B">
        <w:rPr>
          <w:sz w:val="20"/>
          <w:szCs w:val="20"/>
          <w:lang w:val="en-US"/>
        </w:rPr>
        <w:t xml:space="preserve"> </w:t>
      </w:r>
      <w:r w:rsidRPr="00E5437B">
        <w:rPr>
          <w:sz w:val="20"/>
          <w:szCs w:val="20"/>
          <w:lang w:val="en-US"/>
        </w:rPr>
        <w:t>RBs allocated to UE</w:t>
      </w:r>
      <w:r w:rsidR="00232462">
        <w:rPr>
          <w:sz w:val="20"/>
          <w:szCs w:val="20"/>
          <w:lang w:val="en-US"/>
        </w:rPr>
        <w:t xml:space="preserve"> (L</w:t>
      </w:r>
      <w:r w:rsidR="00232462" w:rsidRPr="00C94CE7">
        <w:rPr>
          <w:sz w:val="20"/>
          <w:szCs w:val="20"/>
          <w:vertAlign w:val="subscript"/>
          <w:lang w:val="en-US"/>
        </w:rPr>
        <w:t>RBs</w:t>
      </w:r>
      <w:r w:rsidR="00232462">
        <w:rPr>
          <w:sz w:val="20"/>
          <w:szCs w:val="20"/>
          <w:lang w:val="en-US"/>
        </w:rPr>
        <w:t>)</w:t>
      </w:r>
      <w:r w:rsidRPr="00E5437B">
        <w:rPr>
          <w:sz w:val="20"/>
          <w:szCs w:val="20"/>
          <w:lang w:val="en-US"/>
        </w:rPr>
        <w:t>.</w:t>
      </w:r>
    </w:p>
    <w:p w14:paraId="6F3C5B4E" w14:textId="1A02B952" w:rsidR="006656F5" w:rsidRPr="006F7EE8" w:rsidRDefault="006656F5" w:rsidP="006F7EE8">
      <w:pPr>
        <w:spacing w:after="120"/>
        <w:rPr>
          <w:b/>
          <w:bCs/>
          <w:lang w:val="en-US"/>
        </w:rPr>
      </w:pPr>
      <w:r w:rsidRPr="00B31A8B">
        <w:rPr>
          <w:b/>
          <w:u w:val="single"/>
          <w:lang w:val="en-US"/>
        </w:rPr>
        <w:t xml:space="preserve">PDSCH type 0 </w:t>
      </w:r>
      <w:r w:rsidR="004E0619" w:rsidRPr="00B31A8B">
        <w:rPr>
          <w:b/>
          <w:u w:val="single"/>
          <w:lang w:val="en-US"/>
        </w:rPr>
        <w:t xml:space="preserve">RA </w:t>
      </w:r>
      <w:r w:rsidRPr="00B31A8B">
        <w:rPr>
          <w:b/>
          <w:u w:val="single"/>
          <w:lang w:val="en-US"/>
        </w:rPr>
        <w:t>enhancements</w:t>
      </w:r>
      <w:r w:rsidRPr="006F7EE8">
        <w:rPr>
          <w:b/>
          <w:bCs/>
          <w:lang w:val="en-US"/>
        </w:rPr>
        <w:t xml:space="preserve">: </w:t>
      </w:r>
    </w:p>
    <w:p w14:paraId="2E1DCB84" w14:textId="1A02B952" w:rsidR="003F23F2" w:rsidRDefault="003F23F2" w:rsidP="003F23F2">
      <w:pPr>
        <w:jc w:val="both"/>
        <w:rPr>
          <w:lang w:val="en-US"/>
        </w:rPr>
      </w:pPr>
      <w:r w:rsidRPr="001C18DB">
        <w:rPr>
          <w:lang w:val="en-US"/>
        </w:rPr>
        <w:t xml:space="preserve">In </w:t>
      </w:r>
      <w:r>
        <w:rPr>
          <w:lang w:val="en-US"/>
        </w:rPr>
        <w:t xml:space="preserve">RAN1 #112bis-e, the following was agreed on the FDRA: </w:t>
      </w:r>
    </w:p>
    <w:tbl>
      <w:tblPr>
        <w:tblStyle w:val="TableGrid"/>
        <w:tblW w:w="0" w:type="auto"/>
        <w:tblLook w:val="04A0" w:firstRow="1" w:lastRow="0" w:firstColumn="1" w:lastColumn="0" w:noHBand="0" w:noVBand="1"/>
      </w:tblPr>
      <w:tblGrid>
        <w:gridCol w:w="9629"/>
      </w:tblGrid>
      <w:tr w:rsidR="003F23F2" w14:paraId="2A69B159" w14:textId="77777777">
        <w:tc>
          <w:tcPr>
            <w:tcW w:w="9629" w:type="dxa"/>
          </w:tcPr>
          <w:p w14:paraId="48155900" w14:textId="77777777" w:rsidR="003F23F2" w:rsidRPr="001A6AE0" w:rsidRDefault="003F23F2">
            <w:pPr>
              <w:overflowPunct/>
              <w:autoSpaceDE/>
              <w:autoSpaceDN/>
              <w:adjustRightInd/>
              <w:spacing w:after="0"/>
              <w:ind w:left="540"/>
              <w:textAlignment w:val="auto"/>
              <w:rPr>
                <w:rFonts w:ascii="Times" w:eastAsia="Times New Roman" w:hAnsi="Times" w:cs="Times"/>
              </w:rPr>
            </w:pPr>
            <w:r w:rsidRPr="001A6AE0">
              <w:rPr>
                <w:rFonts w:ascii="Times" w:eastAsia="Times New Roman" w:hAnsi="Times" w:cs="Times"/>
                <w:b/>
                <w:highlight w:val="green"/>
              </w:rPr>
              <w:t>Agreement</w:t>
            </w:r>
          </w:p>
          <w:p w14:paraId="76042ADD" w14:textId="77777777" w:rsidR="003F23F2" w:rsidRPr="00362B37" w:rsidRDefault="003F23F2">
            <w:pPr>
              <w:spacing w:after="0"/>
              <w:ind w:left="540"/>
              <w:rPr>
                <w:rFonts w:ascii="Times" w:eastAsia="Times New Roman" w:hAnsi="Times" w:cs="Times"/>
              </w:rPr>
            </w:pPr>
            <w:r w:rsidRPr="00362B37">
              <w:rPr>
                <w:rFonts w:ascii="Times" w:eastAsia="Times New Roman" w:hAnsi="Times" w:cs="Times"/>
              </w:rPr>
              <w:t xml:space="preserve">For SBFD-aware UEs, Option 1 </w:t>
            </w:r>
            <w:r w:rsidRPr="00362B37">
              <w:rPr>
                <w:rFonts w:ascii="Times" w:eastAsia="Times New Roman" w:hAnsi="Times" w:cs="Times"/>
                <w:color w:val="FF0000"/>
              </w:rPr>
              <w:t>with update</w:t>
            </w:r>
            <w:r>
              <w:rPr>
                <w:rFonts w:ascii="Times" w:eastAsia="Times New Roman" w:hAnsi="Times" w:cs="Times"/>
                <w:color w:val="FF0000"/>
              </w:rPr>
              <w:t xml:space="preserve"> </w:t>
            </w:r>
            <w:r w:rsidRPr="00362B37">
              <w:rPr>
                <w:rFonts w:ascii="Times" w:eastAsia="Times New Roman" w:hAnsi="Times" w:cs="Times"/>
              </w:rPr>
              <w:t xml:space="preserve">is agreed for resource allocation in frequency-domain in case of unaligned boundaries between RBG and SBFD subbands for better resource utilization. </w:t>
            </w:r>
          </w:p>
          <w:p w14:paraId="18ED66A2" w14:textId="77777777" w:rsidR="003F23F2" w:rsidRPr="00362B37" w:rsidRDefault="003F23F2">
            <w:pPr>
              <w:spacing w:after="0"/>
              <w:ind w:left="540"/>
              <w:rPr>
                <w:rFonts w:ascii="Times" w:eastAsia="Times New Roman" w:hAnsi="Times" w:cs="Times"/>
              </w:rPr>
            </w:pPr>
            <w:r w:rsidRPr="00362B37">
              <w:rPr>
                <w:rFonts w:ascii="Times" w:eastAsia="Times New Roman" w:hAnsi="Times" w:cs="Times"/>
              </w:rPr>
              <w:t>For an RBG that overlaps the subband boundary,</w:t>
            </w:r>
          </w:p>
          <w:p w14:paraId="6687228D" w14:textId="77777777" w:rsidR="003F23F2" w:rsidRPr="00362B37" w:rsidRDefault="003F23F2">
            <w:pPr>
              <w:numPr>
                <w:ilvl w:val="0"/>
                <w:numId w:val="93"/>
              </w:numPr>
              <w:spacing w:after="0"/>
              <w:textAlignment w:val="center"/>
              <w:rPr>
                <w:rFonts w:ascii="Calibri" w:eastAsia="Times New Roman" w:hAnsi="Calibri" w:cs="Calibri"/>
              </w:rPr>
            </w:pPr>
            <w:r w:rsidRPr="00362B37">
              <w:rPr>
                <w:rFonts w:ascii="Times" w:eastAsia="Times New Roman" w:hAnsi="Times" w:cs="Times"/>
              </w:rPr>
              <w:t xml:space="preserve">Option 1 </w:t>
            </w:r>
            <w:r w:rsidRPr="00362B37">
              <w:rPr>
                <w:rFonts w:ascii="Times" w:eastAsia="Times New Roman" w:hAnsi="Times" w:cs="Times"/>
                <w:color w:val="FF0000"/>
              </w:rPr>
              <w:t>(with update)</w:t>
            </w:r>
            <w:r w:rsidRPr="00362B37">
              <w:rPr>
                <w:rFonts w:ascii="Times" w:eastAsia="Times New Roman" w:hAnsi="Times" w:cs="Times"/>
              </w:rPr>
              <w:t xml:space="preserve">: </w:t>
            </w:r>
          </w:p>
          <w:p w14:paraId="694562EC" w14:textId="77777777" w:rsidR="003F23F2" w:rsidRPr="00362B37" w:rsidRDefault="003F23F2">
            <w:pPr>
              <w:numPr>
                <w:ilvl w:val="1"/>
                <w:numId w:val="93"/>
              </w:numPr>
              <w:spacing w:after="0"/>
              <w:textAlignment w:val="center"/>
              <w:rPr>
                <w:rFonts w:ascii="Calibri" w:eastAsia="Times New Roman" w:hAnsi="Calibri" w:cs="Calibri"/>
              </w:rPr>
            </w:pPr>
            <w:r w:rsidRPr="00362B37">
              <w:rPr>
                <w:rFonts w:ascii="Times" w:eastAsia="Times New Roman" w:hAnsi="Times" w:cs="Times"/>
                <w:color w:val="FF0000"/>
              </w:rPr>
              <w:t xml:space="preserve">The </w:t>
            </w:r>
            <w:r w:rsidRPr="00362B37">
              <w:rPr>
                <w:rFonts w:ascii="Times" w:eastAsia="Times New Roman" w:hAnsi="Times" w:cs="Times"/>
              </w:rPr>
              <w:t>Part of the DL RBG inside the DL subband can be used</w:t>
            </w:r>
          </w:p>
          <w:p w14:paraId="25F0E090" w14:textId="77777777" w:rsidR="003F23F2" w:rsidRPr="00362B37" w:rsidRDefault="003F23F2">
            <w:pPr>
              <w:numPr>
                <w:ilvl w:val="1"/>
                <w:numId w:val="93"/>
              </w:numPr>
              <w:spacing w:after="0"/>
              <w:textAlignment w:val="center"/>
              <w:rPr>
                <w:rFonts w:ascii="Calibri" w:eastAsia="Times New Roman" w:hAnsi="Calibri" w:cs="Calibri"/>
              </w:rPr>
            </w:pPr>
            <w:r w:rsidRPr="00362B37">
              <w:rPr>
                <w:rFonts w:ascii="Times" w:eastAsia="Times New Roman" w:hAnsi="Times" w:cs="Times"/>
                <w:color w:val="FF0000"/>
              </w:rPr>
              <w:t xml:space="preserve">The </w:t>
            </w:r>
            <w:r w:rsidRPr="00362B37">
              <w:rPr>
                <w:rFonts w:ascii="Times" w:eastAsia="Times New Roman" w:hAnsi="Times" w:cs="Times"/>
              </w:rPr>
              <w:t>Part of the UL RBG inside the UL subband can be used</w:t>
            </w:r>
          </w:p>
          <w:p w14:paraId="24E3AC36" w14:textId="77777777" w:rsidR="003F23F2" w:rsidRDefault="003F23F2">
            <w:pPr>
              <w:jc w:val="both"/>
              <w:rPr>
                <w:lang w:val="en-US"/>
              </w:rPr>
            </w:pPr>
          </w:p>
        </w:tc>
      </w:tr>
    </w:tbl>
    <w:p w14:paraId="74360CE5" w14:textId="051136DF" w:rsidR="003F23F2" w:rsidRDefault="003F23F2" w:rsidP="006B1665">
      <w:pPr>
        <w:spacing w:after="120"/>
        <w:jc w:val="both"/>
        <w:rPr>
          <w:b/>
          <w:bCs/>
          <w:lang w:val="en-US"/>
        </w:rPr>
      </w:pPr>
    </w:p>
    <w:p w14:paraId="1F7D564F" w14:textId="797D7EFE" w:rsidR="008F084E" w:rsidRDefault="008F084E" w:rsidP="00383926">
      <w:pPr>
        <w:spacing w:after="120"/>
        <w:jc w:val="both"/>
        <w:rPr>
          <w:lang w:val="en-US"/>
        </w:rPr>
      </w:pPr>
      <w:r w:rsidRPr="001C18DB">
        <w:rPr>
          <w:lang w:val="en-US"/>
        </w:rPr>
        <w:t>For the part outside the respective DL or UL subband</w:t>
      </w:r>
      <w:r w:rsidR="000374D2">
        <w:rPr>
          <w:lang w:val="en-US"/>
        </w:rPr>
        <w:t xml:space="preserve">, </w:t>
      </w:r>
      <w:r w:rsidR="003510B0">
        <w:rPr>
          <w:lang w:val="en-US"/>
        </w:rPr>
        <w:t>in our view the conclusion</w:t>
      </w:r>
      <w:r w:rsidR="004E24AD">
        <w:rPr>
          <w:lang w:val="en-US"/>
        </w:rPr>
        <w:t xml:space="preserve"> depends on what is the agreed behavior for dynamic SBFD. For example, if it is agreed </w:t>
      </w:r>
      <w:r w:rsidR="005C01C7">
        <w:rPr>
          <w:lang w:val="en-US"/>
        </w:rPr>
        <w:t xml:space="preserve">that </w:t>
      </w:r>
      <w:r w:rsidR="00FC7068">
        <w:rPr>
          <w:lang w:val="en-US"/>
        </w:rPr>
        <w:t xml:space="preserve">the dynamic behavior is </w:t>
      </w:r>
      <w:r w:rsidR="00983A93">
        <w:rPr>
          <w:lang w:val="en-US"/>
        </w:rPr>
        <w:t>specified by allowing DL receptions outside of the DL subband</w:t>
      </w:r>
      <w:r w:rsidR="00F14868">
        <w:rPr>
          <w:lang w:val="en-US"/>
        </w:rPr>
        <w:t xml:space="preserve">, then it would make sense to study </w:t>
      </w:r>
      <w:r w:rsidR="00145DAE">
        <w:rPr>
          <w:lang w:val="en-US"/>
        </w:rPr>
        <w:t xml:space="preserve">whether </w:t>
      </w:r>
      <w:r w:rsidR="007709C0">
        <w:rPr>
          <w:lang w:val="en-US"/>
        </w:rPr>
        <w:t>part of the</w:t>
      </w:r>
      <w:r w:rsidR="00F14868">
        <w:rPr>
          <w:lang w:val="en-US"/>
        </w:rPr>
        <w:t xml:space="preserve"> DL RBG outside the DL subband can be used (at least in Dynamic SBFD). </w:t>
      </w:r>
      <w:r w:rsidR="00885978">
        <w:rPr>
          <w:lang w:val="en-US"/>
        </w:rPr>
        <w:t>This could for example be achieved by th</w:t>
      </w:r>
      <w:r w:rsidR="00D61239">
        <w:rPr>
          <w:lang w:val="en-US"/>
        </w:rPr>
        <w:t xml:space="preserve">e </w:t>
      </w:r>
      <w:r w:rsidR="00973447">
        <w:rPr>
          <w:lang w:val="en-US"/>
        </w:rPr>
        <w:t xml:space="preserve">gNB by scheduling a </w:t>
      </w:r>
      <w:r w:rsidR="00803076">
        <w:rPr>
          <w:lang w:val="en-US"/>
        </w:rPr>
        <w:t xml:space="preserve">RBG completely outside the DL subband. </w:t>
      </w:r>
      <w:r w:rsidR="00F14868">
        <w:rPr>
          <w:lang w:val="en-US"/>
        </w:rPr>
        <w:t>However, our preference is that the symbol is converted to a DL-only symbol,</w:t>
      </w:r>
      <w:r w:rsidR="000F4A71">
        <w:rPr>
          <w:lang w:val="en-US"/>
        </w:rPr>
        <w:t xml:space="preserve"> and in this case, the symbol wouldn’t be characterized by DL and UL subbands. T</w:t>
      </w:r>
      <w:r w:rsidR="00F14868">
        <w:rPr>
          <w:lang w:val="en-US"/>
        </w:rPr>
        <w:t>herefore</w:t>
      </w:r>
      <w:r w:rsidR="006875BC">
        <w:rPr>
          <w:lang w:val="en-US"/>
        </w:rPr>
        <w:t>,</w:t>
      </w:r>
      <w:r w:rsidR="00F14868">
        <w:rPr>
          <w:lang w:val="en-US"/>
        </w:rPr>
        <w:t xml:space="preserve"> we propose: </w:t>
      </w:r>
    </w:p>
    <w:p w14:paraId="1E3F8967" w14:textId="7D8F0AD9" w:rsidR="009D6113" w:rsidRDefault="009D6113">
      <w:pPr>
        <w:pStyle w:val="Proposal"/>
      </w:pPr>
      <w:bookmarkStart w:id="727" w:name="_Toc142394814"/>
      <w:bookmarkStart w:id="728" w:name="_Toc142394906"/>
      <w:bookmarkStart w:id="729" w:name="_Toc142397653"/>
      <w:bookmarkStart w:id="730" w:name="_Toc142397751"/>
      <w:bookmarkStart w:id="731" w:name="_Toc142397958"/>
      <w:bookmarkStart w:id="732" w:name="_Toc142399684"/>
      <w:bookmarkStart w:id="733" w:name="_Toc142400770"/>
      <w:bookmarkStart w:id="734" w:name="_Toc142400869"/>
      <w:bookmarkStart w:id="735" w:name="_Toc142400967"/>
      <w:bookmarkStart w:id="736" w:name="_Toc142401077"/>
      <w:bookmarkStart w:id="737" w:name="_Toc142401250"/>
      <w:bookmarkStart w:id="738" w:name="_Toc142466594"/>
      <w:bookmarkStart w:id="739" w:name="_Toc142481213"/>
      <w:bookmarkStart w:id="740" w:name="_Toc142482027"/>
      <w:r>
        <w:t>For SBFD-aware UEs, for an RBG that overlaps the subband boundary:</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r>
        <w:t xml:space="preserve"> </w:t>
      </w:r>
    </w:p>
    <w:p w14:paraId="79F26595" w14:textId="77777777" w:rsidR="00B173BF" w:rsidRDefault="009D6113" w:rsidP="000F4A71">
      <w:pPr>
        <w:pStyle w:val="Proposal"/>
        <w:numPr>
          <w:ilvl w:val="0"/>
          <w:numId w:val="0"/>
        </w:numPr>
        <w:ind w:left="360"/>
      </w:pPr>
      <w:bookmarkStart w:id="741" w:name="_Toc142394815"/>
      <w:bookmarkStart w:id="742" w:name="_Toc142394907"/>
      <w:bookmarkStart w:id="743" w:name="_Toc142397654"/>
      <w:bookmarkStart w:id="744" w:name="_Toc142397752"/>
      <w:bookmarkStart w:id="745" w:name="_Toc142397959"/>
      <w:bookmarkStart w:id="746" w:name="_Toc142399685"/>
      <w:bookmarkStart w:id="747" w:name="_Toc142400771"/>
      <w:bookmarkStart w:id="748" w:name="_Toc142400870"/>
      <w:bookmarkStart w:id="749" w:name="_Toc142400968"/>
      <w:bookmarkStart w:id="750" w:name="_Toc142401078"/>
      <w:bookmarkStart w:id="751" w:name="_Toc142401251"/>
      <w:bookmarkStart w:id="752" w:name="_Toc142466595"/>
      <w:bookmarkStart w:id="753" w:name="_Toc142481214"/>
      <w:bookmarkStart w:id="754" w:name="_Toc142482028"/>
      <w:r>
        <w:t>•</w:t>
      </w:r>
      <w:r>
        <w:tab/>
      </w:r>
      <w:r w:rsidR="0071445C">
        <w:t xml:space="preserve">The UE </w:t>
      </w:r>
      <w:r w:rsidR="00F36743">
        <w:t>assumes that the p</w:t>
      </w:r>
      <w:r>
        <w:t xml:space="preserve">art of the UL RBG outside the UL subband </w:t>
      </w:r>
      <w:r w:rsidR="00F36743">
        <w:t>cannot be used for transmissions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r w:rsidR="000F4A71">
        <w:t xml:space="preserve"> </w:t>
      </w:r>
    </w:p>
    <w:p w14:paraId="0FF95C1E" w14:textId="7A611869" w:rsidR="00186A20" w:rsidRPr="009D4014" w:rsidRDefault="00186A20" w:rsidP="005F69B8">
      <w:pPr>
        <w:spacing w:after="120"/>
      </w:pPr>
      <w:r w:rsidRPr="009D4014">
        <w:rPr>
          <w:u w:val="single"/>
        </w:rPr>
        <w:t xml:space="preserve">PDSCH type 1 </w:t>
      </w:r>
      <w:r w:rsidR="004E0619" w:rsidRPr="009D4014">
        <w:rPr>
          <w:b/>
          <w:u w:val="single"/>
          <w:lang w:val="en-US"/>
        </w:rPr>
        <w:t>RA</w:t>
      </w:r>
      <w:r w:rsidR="004E0619" w:rsidRPr="009D4014">
        <w:rPr>
          <w:u w:val="single"/>
        </w:rPr>
        <w:t xml:space="preserve"> </w:t>
      </w:r>
      <w:r w:rsidRPr="009D4014">
        <w:rPr>
          <w:u w:val="single"/>
        </w:rPr>
        <w:t>enhancements</w:t>
      </w:r>
      <w:r w:rsidRPr="009D4014">
        <w:t xml:space="preserve">: </w:t>
      </w:r>
    </w:p>
    <w:p w14:paraId="011C4FC3" w14:textId="7492B0B5" w:rsidR="00186A20" w:rsidRDefault="00BB4972" w:rsidP="0077376B">
      <w:pPr>
        <w:spacing w:after="120"/>
        <w:jc w:val="both"/>
        <w:rPr>
          <w:lang w:val="en-US"/>
        </w:rPr>
      </w:pPr>
      <w:r w:rsidRPr="00BB4972">
        <w:rPr>
          <w:lang w:val="en-US"/>
        </w:rPr>
        <w:t xml:space="preserve">Clearly, FDRA Type 1 cannot be used for frequency resource allocation in two non-contiguous DL subbands. </w:t>
      </w:r>
      <w:r w:rsidRPr="00166823">
        <w:rPr>
          <w:lang w:val="en-US"/>
        </w:rPr>
        <w:t>Therefore</w:t>
      </w:r>
      <w:r w:rsidR="000336CB">
        <w:rPr>
          <w:lang w:val="en-US"/>
        </w:rPr>
        <w:t>,</w:t>
      </w:r>
      <w:r w:rsidRPr="00166823">
        <w:rPr>
          <w:lang w:val="en-US"/>
        </w:rPr>
        <w:t xml:space="preserve"> it also suffers from resource fragmentation in a DUD configuration.</w:t>
      </w:r>
      <w:r>
        <w:rPr>
          <w:lang w:val="en-US"/>
        </w:rPr>
        <w:t xml:space="preserve"> </w:t>
      </w:r>
      <w:r w:rsidR="002117D0">
        <w:rPr>
          <w:lang w:val="en-US"/>
        </w:rPr>
        <w:t xml:space="preserve">Study of </w:t>
      </w:r>
      <w:r w:rsidR="00186A20" w:rsidRPr="00F56F29">
        <w:rPr>
          <w:lang w:val="en-US"/>
        </w:rPr>
        <w:t xml:space="preserve">RA type 1 enhancements were </w:t>
      </w:r>
      <w:r w:rsidR="002117D0">
        <w:rPr>
          <w:lang w:val="en-US"/>
        </w:rPr>
        <w:t>not agreed in the last meeting</w:t>
      </w:r>
      <w:r w:rsidR="00BE264C">
        <w:rPr>
          <w:lang w:val="en-US"/>
        </w:rPr>
        <w:t>s</w:t>
      </w:r>
      <w:r w:rsidR="00186A20" w:rsidRPr="00F56F29">
        <w:rPr>
          <w:lang w:val="en-US"/>
        </w:rPr>
        <w:t xml:space="preserve">, </w:t>
      </w:r>
      <w:r w:rsidR="00DA5D65">
        <w:rPr>
          <w:lang w:val="en-US"/>
        </w:rPr>
        <w:t>though different enhancements were discussed among companie</w:t>
      </w:r>
      <w:r w:rsidR="000368AC">
        <w:rPr>
          <w:lang w:val="en-US"/>
        </w:rPr>
        <w:t>s</w:t>
      </w:r>
      <w:r w:rsidR="00D52B61">
        <w:rPr>
          <w:lang w:val="en-US"/>
        </w:rPr>
        <w:fldChar w:fldCharType="begin"/>
      </w:r>
      <w:r w:rsidR="00D52B61">
        <w:rPr>
          <w:lang w:val="en-US"/>
        </w:rPr>
        <w:instrText xml:space="preserve"> REF _Ref134616467 \r </w:instrText>
      </w:r>
      <w:r w:rsidR="00D52B61">
        <w:rPr>
          <w:lang w:val="en-US"/>
        </w:rPr>
        <w:fldChar w:fldCharType="separate"/>
      </w:r>
      <w:r w:rsidR="00D52B61">
        <w:rPr>
          <w:lang w:val="en-US"/>
        </w:rPr>
        <w:t>[3]</w:t>
      </w:r>
      <w:r w:rsidR="00D52B61">
        <w:rPr>
          <w:lang w:val="en-US"/>
        </w:rPr>
        <w:fldChar w:fldCharType="end"/>
      </w:r>
      <w:r w:rsidR="00587191">
        <w:rPr>
          <w:lang w:val="en-US"/>
        </w:rPr>
        <w:t>:</w:t>
      </w:r>
    </w:p>
    <w:p w14:paraId="73AF4651" w14:textId="5E887487" w:rsidR="001C589C" w:rsidRDefault="00C304AA" w:rsidP="0017725D">
      <w:pPr>
        <w:spacing w:after="120"/>
        <w:ind w:left="284"/>
        <w:rPr>
          <w:lang w:val="en-US"/>
        </w:rPr>
      </w:pPr>
      <w:r w:rsidRPr="00D52B61">
        <w:rPr>
          <w:lang w:val="en-US"/>
        </w:rPr>
        <w:t xml:space="preserve">1) </w:t>
      </w:r>
      <w:r w:rsidR="000336CB" w:rsidRPr="00D52B61">
        <w:rPr>
          <w:lang w:val="en-US"/>
        </w:rPr>
        <w:t>N</w:t>
      </w:r>
      <w:r w:rsidR="00393124" w:rsidRPr="00D52B61">
        <w:rPr>
          <w:lang w:val="en-US"/>
        </w:rPr>
        <w:t xml:space="preserve">on-continuous </w:t>
      </w:r>
      <w:r w:rsidR="00F2618C" w:rsidRPr="00D52B61">
        <w:rPr>
          <w:lang w:val="en-US"/>
        </w:rPr>
        <w:t>PRB to CRB mapping</w:t>
      </w:r>
      <w:r w:rsidR="00A369D3">
        <w:rPr>
          <w:lang w:val="en-US"/>
        </w:rPr>
        <w:t xml:space="preserve"> </w:t>
      </w:r>
    </w:p>
    <w:p w14:paraId="63EEF45F" w14:textId="051136DF" w:rsidR="00D370A8" w:rsidRDefault="00C304AA" w:rsidP="006275E3">
      <w:pPr>
        <w:spacing w:after="120"/>
        <w:ind w:left="284"/>
        <w:rPr>
          <w:lang w:val="en-US"/>
        </w:rPr>
      </w:pPr>
      <w:r>
        <w:rPr>
          <w:lang w:val="en-US"/>
        </w:rPr>
        <w:t xml:space="preserve">2) </w:t>
      </w:r>
      <w:r w:rsidR="00B738F3">
        <w:rPr>
          <w:lang w:val="en-US"/>
        </w:rPr>
        <w:t xml:space="preserve">Enhanced rate matching: </w:t>
      </w:r>
      <w:r w:rsidR="00D370A8">
        <w:rPr>
          <w:lang w:val="en-US"/>
        </w:rPr>
        <w:t>Rate matching around UL subband</w:t>
      </w:r>
      <w:r w:rsidR="002A04A3">
        <w:rPr>
          <w:lang w:val="en-US"/>
        </w:rPr>
        <w:t xml:space="preserve"> or puncturing the PRB/symbols within the UL subband: </w:t>
      </w:r>
      <w:r w:rsidR="003E4A3D">
        <w:rPr>
          <w:lang w:val="en-US"/>
        </w:rPr>
        <w:t>in this option</w:t>
      </w:r>
      <w:r w:rsidR="00C302AB">
        <w:rPr>
          <w:lang w:val="en-US"/>
        </w:rPr>
        <w:t>,</w:t>
      </w:r>
      <w:r w:rsidR="00716384">
        <w:rPr>
          <w:lang w:val="en-US"/>
        </w:rPr>
        <w:t xml:space="preserve"> for non-interleaved </w:t>
      </w:r>
      <w:r w:rsidR="007601FA">
        <w:rPr>
          <w:lang w:val="en-US"/>
        </w:rPr>
        <w:t>RA,</w:t>
      </w:r>
      <w:r w:rsidR="00C302AB">
        <w:rPr>
          <w:lang w:val="en-US"/>
        </w:rPr>
        <w:t xml:space="preserve"> </w:t>
      </w:r>
      <w:r w:rsidR="00A150EA">
        <w:rPr>
          <w:lang w:val="en-US"/>
        </w:rPr>
        <w:t xml:space="preserve">when there is an overlap of the allocated PDSCH </w:t>
      </w:r>
      <w:r w:rsidR="00EA3531">
        <w:rPr>
          <w:lang w:val="en-US"/>
        </w:rPr>
        <w:t xml:space="preserve">with the active UL subband, the UE would </w:t>
      </w:r>
      <w:r w:rsidR="00E914A4">
        <w:rPr>
          <w:lang w:val="en-US"/>
        </w:rPr>
        <w:t>perform rate match around an active UL subband.</w:t>
      </w:r>
    </w:p>
    <w:p w14:paraId="3ABE4B8A" w14:textId="051136DF" w:rsidR="00262058" w:rsidRDefault="00262058" w:rsidP="006275E3">
      <w:pPr>
        <w:spacing w:after="120"/>
        <w:ind w:left="284"/>
        <w:rPr>
          <w:lang w:val="en-US"/>
        </w:rPr>
      </w:pPr>
      <w:r>
        <w:rPr>
          <w:lang w:val="en-US"/>
        </w:rPr>
        <w:t>3) Mirror image FDRA</w:t>
      </w:r>
      <w:r w:rsidR="004455A0">
        <w:rPr>
          <w:lang w:val="en-US"/>
        </w:rPr>
        <w:t>, where the DL grant indicates a 1</w:t>
      </w:r>
      <w:r w:rsidR="004455A0" w:rsidRPr="00D52B61">
        <w:rPr>
          <w:vertAlign w:val="superscript"/>
          <w:lang w:val="en-US"/>
        </w:rPr>
        <w:t>st</w:t>
      </w:r>
      <w:r w:rsidR="004455A0">
        <w:rPr>
          <w:lang w:val="en-US"/>
        </w:rPr>
        <w:t xml:space="preserve"> set of RBs and a 2</w:t>
      </w:r>
      <w:r w:rsidR="004455A0" w:rsidRPr="00D52B61">
        <w:rPr>
          <w:vertAlign w:val="superscript"/>
          <w:lang w:val="en-US"/>
        </w:rPr>
        <w:t>nd</w:t>
      </w:r>
      <w:r w:rsidR="004455A0">
        <w:rPr>
          <w:lang w:val="en-US"/>
        </w:rPr>
        <w:t xml:space="preserve"> set of RBs </w:t>
      </w:r>
      <w:r w:rsidR="002210D9">
        <w:rPr>
          <w:lang w:val="en-US"/>
        </w:rPr>
        <w:t>is determined by reflecting the 1</w:t>
      </w:r>
      <w:r w:rsidR="002210D9" w:rsidRPr="00D52B61">
        <w:rPr>
          <w:vertAlign w:val="superscript"/>
          <w:lang w:val="en-US"/>
        </w:rPr>
        <w:t>st</w:t>
      </w:r>
      <w:r w:rsidR="002210D9">
        <w:rPr>
          <w:lang w:val="en-US"/>
        </w:rPr>
        <w:t xml:space="preserve"> set of RBs across the middle of the BWP. </w:t>
      </w:r>
    </w:p>
    <w:p w14:paraId="0CEC5526" w14:textId="7E40F6AD" w:rsidR="002210D9" w:rsidRPr="00F529B8" w:rsidRDefault="00655D3B" w:rsidP="005F69B8">
      <w:pPr>
        <w:pStyle w:val="Observation"/>
        <w:ind w:left="284"/>
      </w:pPr>
      <w:bookmarkStart w:id="755" w:name="_Toc142394816"/>
      <w:bookmarkStart w:id="756" w:name="_Toc142394908"/>
      <w:bookmarkStart w:id="757" w:name="_Toc142397655"/>
      <w:bookmarkStart w:id="758" w:name="_Toc142397753"/>
      <w:bookmarkStart w:id="759" w:name="_Toc142397960"/>
      <w:bookmarkStart w:id="760" w:name="_Toc142399686"/>
      <w:bookmarkStart w:id="761" w:name="_Toc142400772"/>
      <w:bookmarkStart w:id="762" w:name="_Toc142400871"/>
      <w:bookmarkStart w:id="763" w:name="_Toc142400969"/>
      <w:bookmarkStart w:id="764" w:name="_Toc142401079"/>
      <w:bookmarkStart w:id="765" w:name="_Toc142401252"/>
      <w:bookmarkStart w:id="766" w:name="_Toc142466596"/>
      <w:bookmarkStart w:id="767" w:name="_Toc142481215"/>
      <w:bookmarkStart w:id="768" w:name="_Toc142482029"/>
      <w:r>
        <w:t xml:space="preserve">Current </w:t>
      </w:r>
      <w:r w:rsidR="005B3704">
        <w:t xml:space="preserve">FDRA Type 1 does not support </w:t>
      </w:r>
      <w:r>
        <w:t>resource allocation across two DL subbands.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666D363" w14:textId="32F1C930" w:rsidR="000414BE" w:rsidRDefault="00C304AA" w:rsidP="00765E7B">
      <w:pPr>
        <w:keepNext/>
        <w:spacing w:after="120"/>
        <w:jc w:val="both"/>
        <w:rPr>
          <w:lang w:val="en-US"/>
        </w:rPr>
      </w:pPr>
      <w:r>
        <w:rPr>
          <w:lang w:val="en-US"/>
        </w:rPr>
        <w:t xml:space="preserve">In </w:t>
      </w:r>
      <w:r w:rsidR="008222C7">
        <w:rPr>
          <w:lang w:val="en-US"/>
        </w:rPr>
        <w:t xml:space="preserve">our view, it should be possible to </w:t>
      </w:r>
      <w:r w:rsidR="00612248">
        <w:rPr>
          <w:lang w:val="en-US"/>
        </w:rPr>
        <w:t xml:space="preserve">allocate resources in both DL </w:t>
      </w:r>
      <w:r w:rsidR="00E55876">
        <w:rPr>
          <w:lang w:val="en-US"/>
        </w:rPr>
        <w:t xml:space="preserve">sub </w:t>
      </w:r>
      <w:r w:rsidR="00612248">
        <w:rPr>
          <w:lang w:val="en-US"/>
        </w:rPr>
        <w:t>bands in a DUD configuration</w:t>
      </w:r>
      <w:r w:rsidR="00985689">
        <w:rPr>
          <w:lang w:val="en-US"/>
        </w:rPr>
        <w:t xml:space="preserve">, </w:t>
      </w:r>
      <w:r w:rsidR="00C82134">
        <w:rPr>
          <w:lang w:val="en-US"/>
        </w:rPr>
        <w:t>with only 1 RIV</w:t>
      </w:r>
      <w:r w:rsidR="00CB0637">
        <w:rPr>
          <w:lang w:val="en-US"/>
        </w:rPr>
        <w:t xml:space="preserve"> and this can </w:t>
      </w:r>
      <w:r w:rsidR="00E46E37">
        <w:rPr>
          <w:lang w:val="en-US"/>
        </w:rPr>
        <w:t xml:space="preserve">in principle </w:t>
      </w:r>
      <w:r w:rsidR="00CB0637">
        <w:rPr>
          <w:lang w:val="en-US"/>
        </w:rPr>
        <w:t xml:space="preserve">be achieved by </w:t>
      </w:r>
      <w:r w:rsidR="00E46E37">
        <w:rPr>
          <w:lang w:val="en-US"/>
        </w:rPr>
        <w:t xml:space="preserve">all options </w:t>
      </w:r>
      <w:r w:rsidR="00CB0637">
        <w:rPr>
          <w:lang w:val="en-US"/>
        </w:rPr>
        <w:t xml:space="preserve">above. </w:t>
      </w:r>
      <w:r w:rsidR="008E6C53">
        <w:rPr>
          <w:lang w:val="en-US"/>
        </w:rPr>
        <w:t>It is also important to address</w:t>
      </w:r>
      <w:r w:rsidR="00E318E5">
        <w:rPr>
          <w:lang w:val="en-US"/>
        </w:rPr>
        <w:t xml:space="preserve"> </w:t>
      </w:r>
      <w:r w:rsidR="00D35324">
        <w:rPr>
          <w:lang w:val="en-US"/>
        </w:rPr>
        <w:t xml:space="preserve">whether the </w:t>
      </w:r>
      <w:r w:rsidR="003823D1">
        <w:rPr>
          <w:lang w:val="en-US"/>
        </w:rPr>
        <w:t>current</w:t>
      </w:r>
      <w:r w:rsidR="00D35324">
        <w:rPr>
          <w:lang w:val="en-US"/>
        </w:rPr>
        <w:t xml:space="preserve"> </w:t>
      </w:r>
      <w:r w:rsidR="003823D1">
        <w:rPr>
          <w:lang w:val="en-US"/>
        </w:rPr>
        <w:t>DCI</w:t>
      </w:r>
      <w:r w:rsidR="00D35324">
        <w:rPr>
          <w:lang w:val="en-US"/>
        </w:rPr>
        <w:t xml:space="preserve"> format can be </w:t>
      </w:r>
      <w:r w:rsidR="003823D1">
        <w:rPr>
          <w:lang w:val="en-US"/>
        </w:rPr>
        <w:t xml:space="preserve">maintained </w:t>
      </w:r>
      <w:r w:rsidR="008E6C53">
        <w:rPr>
          <w:lang w:val="en-US"/>
        </w:rPr>
        <w:t xml:space="preserve">or not in each of the discussed options. </w:t>
      </w:r>
    </w:p>
    <w:p w14:paraId="2153A0FF" w14:textId="623A22A8" w:rsidR="005F292B" w:rsidRDefault="00DE091E" w:rsidP="00765E7B">
      <w:pPr>
        <w:keepNext/>
        <w:spacing w:after="120"/>
        <w:jc w:val="both"/>
        <w:rPr>
          <w:lang w:val="en-US"/>
        </w:rPr>
      </w:pPr>
      <w:r>
        <w:rPr>
          <w:lang w:val="en-US"/>
        </w:rPr>
        <w:t>Another</w:t>
      </w:r>
      <w:r w:rsidR="00470767">
        <w:rPr>
          <w:lang w:val="en-US"/>
        </w:rPr>
        <w:t xml:space="preserve"> option to support </w:t>
      </w:r>
      <w:r w:rsidR="004816DF">
        <w:rPr>
          <w:lang w:val="en-US"/>
        </w:rPr>
        <w:t xml:space="preserve">non-contiguous </w:t>
      </w:r>
      <w:r w:rsidR="00244C6D">
        <w:rPr>
          <w:lang w:val="en-US"/>
        </w:rPr>
        <w:t>allocation</w:t>
      </w:r>
      <w:r w:rsidR="00BE1854">
        <w:rPr>
          <w:lang w:val="en-US"/>
        </w:rPr>
        <w:t xml:space="preserve"> in SBFD symbols</w:t>
      </w:r>
      <w:r w:rsidR="00244C6D">
        <w:rPr>
          <w:lang w:val="en-US"/>
        </w:rPr>
        <w:t xml:space="preserve"> is to </w:t>
      </w:r>
      <w:r w:rsidR="000033B5">
        <w:rPr>
          <w:lang w:val="en-US"/>
        </w:rPr>
        <w:t xml:space="preserve">change the </w:t>
      </w:r>
      <w:r w:rsidR="005F292B">
        <w:rPr>
          <w:lang w:val="en-US"/>
        </w:rPr>
        <w:t xml:space="preserve">reference </w:t>
      </w:r>
      <w:r w:rsidR="00C325E0">
        <w:rPr>
          <w:lang w:val="en-US"/>
        </w:rPr>
        <w:t xml:space="preserve">point </w:t>
      </w:r>
      <w:r w:rsidR="005F292B">
        <w:rPr>
          <w:lang w:val="en-US"/>
        </w:rPr>
        <w:t>for</w:t>
      </w:r>
      <w:r w:rsidR="00C325E0">
        <w:rPr>
          <w:lang w:val="en-US"/>
        </w:rPr>
        <w:t xml:space="preserve"> the FDRA</w:t>
      </w:r>
      <w:r w:rsidR="00E46E37">
        <w:rPr>
          <w:lang w:val="en-US"/>
        </w:rPr>
        <w:t xml:space="preserve"> </w:t>
      </w:r>
      <w:r w:rsidR="005F292B">
        <w:rPr>
          <w:lang w:val="en-US"/>
        </w:rPr>
        <w:t xml:space="preserve">Type 1 allocation </w:t>
      </w:r>
      <w:r w:rsidR="00E46E37">
        <w:rPr>
          <w:lang w:val="en-US"/>
        </w:rPr>
        <w:t>in SBFD symbols/slots</w:t>
      </w:r>
      <w:r w:rsidR="006520B4">
        <w:rPr>
          <w:lang w:val="en-US"/>
        </w:rPr>
        <w:t>.</w:t>
      </w:r>
      <w:r w:rsidR="004E6D9E">
        <w:rPr>
          <w:lang w:val="en-US"/>
        </w:rPr>
        <w:t xml:space="preserve"> Currently, the </w:t>
      </w:r>
      <w:r w:rsidR="005F292B">
        <w:rPr>
          <w:lang w:val="en-US"/>
        </w:rPr>
        <w:t xml:space="preserve">reference point </w:t>
      </w:r>
      <w:r w:rsidR="004E6D9E">
        <w:rPr>
          <w:lang w:val="en-US"/>
        </w:rPr>
        <w:t xml:space="preserve">is the first RB within the </w:t>
      </w:r>
      <w:r w:rsidR="002345CD">
        <w:rPr>
          <w:lang w:val="en-US"/>
        </w:rPr>
        <w:t>D</w:t>
      </w:r>
      <w:r w:rsidR="005F292B">
        <w:rPr>
          <w:lang w:val="en-US"/>
        </w:rPr>
        <w:t xml:space="preserve">L </w:t>
      </w:r>
      <w:r w:rsidR="004E6D9E">
        <w:rPr>
          <w:lang w:val="en-US"/>
        </w:rPr>
        <w:t xml:space="preserve">BWP </w:t>
      </w:r>
      <w:r w:rsidR="005F292B">
        <w:rPr>
          <w:lang w:val="en-US"/>
        </w:rPr>
        <w:t xml:space="preserve">The UE determines the set of RBs to be used for transmission based on </w:t>
      </w:r>
      <w:r w:rsidR="00E43CF0">
        <w:rPr>
          <w:lang w:val="en-US"/>
        </w:rPr>
        <w:t>an</w:t>
      </w:r>
      <w:r w:rsidR="005F292B">
        <w:rPr>
          <w:lang w:val="en-US"/>
        </w:rPr>
        <w:t xml:space="preserve"> offset to the reference point and </w:t>
      </w:r>
      <w:proofErr w:type="gramStart"/>
      <w:r w:rsidR="00E43CF0">
        <w:rPr>
          <w:lang w:val="en-US"/>
        </w:rPr>
        <w:t>a</w:t>
      </w:r>
      <w:r w:rsidR="005F292B">
        <w:rPr>
          <w:lang w:val="en-US"/>
        </w:rPr>
        <w:t xml:space="preserve"> number of</w:t>
      </w:r>
      <w:proofErr w:type="gramEnd"/>
      <w:r w:rsidR="005F292B">
        <w:rPr>
          <w:lang w:val="en-US"/>
        </w:rPr>
        <w:t xml:space="preserve"> contiguous RBs</w:t>
      </w:r>
      <w:r w:rsidR="00277EFF">
        <w:rPr>
          <w:lang w:val="en-US"/>
        </w:rPr>
        <w:t xml:space="preserve">, </w:t>
      </w:r>
      <w:r w:rsidR="005F292B">
        <w:rPr>
          <w:lang w:val="en-US"/>
        </w:rPr>
        <w:t>which are signaled in the RIV.</w:t>
      </w:r>
      <w:r w:rsidR="004E6D9E" w:rsidDel="005F292B">
        <w:rPr>
          <w:lang w:val="en-US"/>
        </w:rPr>
        <w:t xml:space="preserve"> </w:t>
      </w:r>
      <w:r w:rsidR="00277EFF">
        <w:rPr>
          <w:lang w:val="en-US"/>
        </w:rPr>
        <w:t>To optimize signaling overhead, RIV only supports signaling of an offset-</w:t>
      </w:r>
      <w:r w:rsidR="00E43CF0">
        <w:rPr>
          <w:lang w:val="en-US"/>
        </w:rPr>
        <w:t>length</w:t>
      </w:r>
      <w:r w:rsidR="00277EFF">
        <w:rPr>
          <w:lang w:val="en-US"/>
        </w:rPr>
        <w:t xml:space="preserve"> duple if it is feasible within the configured </w:t>
      </w:r>
      <w:r w:rsidR="002345CD">
        <w:rPr>
          <w:lang w:val="en-US"/>
        </w:rPr>
        <w:t>D</w:t>
      </w:r>
      <w:r w:rsidR="00277EFF">
        <w:rPr>
          <w:lang w:val="en-US"/>
        </w:rPr>
        <w:t xml:space="preserve">L BWP. As an example, if the offset is pointing to the last RB within the </w:t>
      </w:r>
      <w:r w:rsidR="002345CD">
        <w:rPr>
          <w:lang w:val="en-US"/>
        </w:rPr>
        <w:t>D</w:t>
      </w:r>
      <w:r w:rsidR="00277EFF">
        <w:rPr>
          <w:lang w:val="en-US"/>
        </w:rPr>
        <w:t>L BWP, the RIV only support</w:t>
      </w:r>
      <w:r w:rsidR="002345CD">
        <w:rPr>
          <w:lang w:val="en-US"/>
        </w:rPr>
        <w:t>s</w:t>
      </w:r>
      <w:r w:rsidR="00277EFF">
        <w:rPr>
          <w:lang w:val="en-US"/>
        </w:rPr>
        <w:t xml:space="preserve"> signaling of </w:t>
      </w:r>
      <w:r w:rsidR="002345CD">
        <w:rPr>
          <w:lang w:val="en-US"/>
        </w:rPr>
        <w:t xml:space="preserve">a </w:t>
      </w:r>
      <w:r w:rsidR="00E43CF0">
        <w:rPr>
          <w:lang w:val="en-US"/>
        </w:rPr>
        <w:t>length</w:t>
      </w:r>
      <w:r w:rsidR="00277EFF">
        <w:rPr>
          <w:lang w:val="en-US"/>
        </w:rPr>
        <w:t xml:space="preserve"> corresponding to 1 RB.</w:t>
      </w:r>
    </w:p>
    <w:p w14:paraId="5123617D" w14:textId="060F04FF" w:rsidR="00306AEE" w:rsidRDefault="00027A5E" w:rsidP="00765E7B">
      <w:pPr>
        <w:keepNext/>
        <w:spacing w:after="120"/>
        <w:jc w:val="both"/>
        <w:rPr>
          <w:lang w:val="en-US"/>
        </w:rPr>
      </w:pPr>
      <w:r>
        <w:rPr>
          <w:lang w:val="en-US"/>
        </w:rPr>
        <w:t>I</w:t>
      </w:r>
      <w:r w:rsidR="00877BDA">
        <w:rPr>
          <w:lang w:val="en-US"/>
        </w:rPr>
        <w:t>f</w:t>
      </w:r>
      <w:r w:rsidR="00786DF3">
        <w:rPr>
          <w:lang w:val="en-US"/>
        </w:rPr>
        <w:t xml:space="preserve"> </w:t>
      </w:r>
      <w:r>
        <w:rPr>
          <w:lang w:val="en-US"/>
        </w:rPr>
        <w:t xml:space="preserve">the first RB in the </w:t>
      </w:r>
      <w:r w:rsidR="00A045F3">
        <w:rPr>
          <w:lang w:val="en-US"/>
        </w:rPr>
        <w:t xml:space="preserve">upper DL </w:t>
      </w:r>
      <w:proofErr w:type="spellStart"/>
      <w:r w:rsidR="00A045F3">
        <w:rPr>
          <w:lang w:val="en-US"/>
        </w:rPr>
        <w:t>subband</w:t>
      </w:r>
      <w:proofErr w:type="spellEnd"/>
      <w:r w:rsidR="00A045F3">
        <w:rPr>
          <w:lang w:val="en-US"/>
        </w:rPr>
        <w:t xml:space="preserve"> is used as </w:t>
      </w:r>
      <w:r w:rsidR="00E43CF0">
        <w:rPr>
          <w:lang w:val="en-US"/>
        </w:rPr>
        <w:t>the</w:t>
      </w:r>
      <w:r w:rsidR="005F292B">
        <w:rPr>
          <w:lang w:val="en-US"/>
        </w:rPr>
        <w:t xml:space="preserve"> reference point </w:t>
      </w:r>
      <w:r w:rsidR="002345CD">
        <w:rPr>
          <w:lang w:val="en-US"/>
        </w:rPr>
        <w:t xml:space="preserve">and the allocated RBs are determined based on </w:t>
      </w:r>
      <w:r w:rsidR="00E43CF0">
        <w:rPr>
          <w:lang w:val="en-US"/>
        </w:rPr>
        <w:t xml:space="preserve">the </w:t>
      </w:r>
      <w:r w:rsidR="002345CD">
        <w:rPr>
          <w:lang w:val="en-US"/>
        </w:rPr>
        <w:t xml:space="preserve">offset and </w:t>
      </w:r>
      <w:r w:rsidR="00190348">
        <w:rPr>
          <w:lang w:val="en-US"/>
        </w:rPr>
        <w:t>the length</w:t>
      </w:r>
      <w:r w:rsidR="002345CD">
        <w:rPr>
          <w:lang w:val="en-US"/>
        </w:rPr>
        <w:t xml:space="preserve"> </w:t>
      </w:r>
      <w:r w:rsidR="00E43CF0">
        <w:rPr>
          <w:lang w:val="en-US"/>
        </w:rPr>
        <w:t>signaled</w:t>
      </w:r>
      <w:r w:rsidR="002345CD">
        <w:rPr>
          <w:lang w:val="en-US"/>
        </w:rPr>
        <w:t xml:space="preserve"> </w:t>
      </w:r>
      <w:r w:rsidR="00190348">
        <w:rPr>
          <w:lang w:val="en-US"/>
        </w:rPr>
        <w:t>in</w:t>
      </w:r>
      <w:r w:rsidR="002345CD">
        <w:rPr>
          <w:lang w:val="en-US"/>
        </w:rPr>
        <w:t xml:space="preserve"> the RIV by applying some modulo operation to </w:t>
      </w:r>
      <w:r w:rsidR="00190348">
        <w:rPr>
          <w:lang w:val="en-US"/>
        </w:rPr>
        <w:t xml:space="preserve">ensure that </w:t>
      </w:r>
      <w:r w:rsidR="002345CD">
        <w:rPr>
          <w:lang w:val="en-US"/>
        </w:rPr>
        <w:t xml:space="preserve">the </w:t>
      </w:r>
      <w:r w:rsidR="00190348">
        <w:rPr>
          <w:lang w:val="en-US"/>
        </w:rPr>
        <w:t xml:space="preserve">allocated </w:t>
      </w:r>
      <w:r w:rsidR="002345CD">
        <w:rPr>
          <w:lang w:val="en-US"/>
        </w:rPr>
        <w:t xml:space="preserve">RB index does not </w:t>
      </w:r>
      <w:r w:rsidR="00E976E7">
        <w:rPr>
          <w:lang w:val="en-US"/>
        </w:rPr>
        <w:t>fall outside of the DL BWP</w:t>
      </w:r>
      <w:r w:rsidR="00A045F3">
        <w:rPr>
          <w:lang w:val="en-US"/>
        </w:rPr>
        <w:t xml:space="preserve">, </w:t>
      </w:r>
      <w:r w:rsidR="00E43CF0">
        <w:rPr>
          <w:lang w:val="en-US"/>
        </w:rPr>
        <w:t xml:space="preserve">as in </w:t>
      </w:r>
      <w:r w:rsidR="00E43CF0">
        <w:rPr>
          <w:lang w:val="en-US"/>
        </w:rPr>
        <w:fldChar w:fldCharType="begin"/>
      </w:r>
      <w:r w:rsidR="00E43CF0">
        <w:rPr>
          <w:lang w:val="en-US"/>
        </w:rPr>
        <w:instrText xml:space="preserve"> REF _Ref142397240 \h </w:instrText>
      </w:r>
      <w:r w:rsidR="00E43CF0">
        <w:rPr>
          <w:lang w:val="en-US"/>
        </w:rPr>
      </w:r>
      <w:r w:rsidR="00E43CF0">
        <w:rPr>
          <w:lang w:val="en-US"/>
        </w:rPr>
        <w:fldChar w:fldCharType="separate"/>
      </w:r>
      <w:r w:rsidR="00C974C2">
        <w:t xml:space="preserve">Figure </w:t>
      </w:r>
      <w:r w:rsidR="00E43CF0">
        <w:rPr>
          <w:lang w:val="en-US"/>
        </w:rPr>
        <w:fldChar w:fldCharType="end"/>
      </w:r>
      <w:r w:rsidR="00786DF3">
        <w:rPr>
          <w:lang w:val="en-US"/>
        </w:rPr>
        <w:t xml:space="preserve">, </w:t>
      </w:r>
      <w:r w:rsidR="00E976E7">
        <w:rPr>
          <w:lang w:val="en-US"/>
        </w:rPr>
        <w:t>the</w:t>
      </w:r>
      <w:r w:rsidR="00553643">
        <w:rPr>
          <w:lang w:val="en-US"/>
        </w:rPr>
        <w:t xml:space="preserve"> </w:t>
      </w:r>
      <w:r w:rsidR="00CC36EA">
        <w:rPr>
          <w:lang w:val="en-US"/>
        </w:rPr>
        <w:t xml:space="preserve">existing </w:t>
      </w:r>
      <w:r w:rsidR="002562DA">
        <w:rPr>
          <w:lang w:val="en-US"/>
        </w:rPr>
        <w:t>RIV</w:t>
      </w:r>
      <w:r w:rsidR="00CC34DB">
        <w:rPr>
          <w:lang w:val="en-US"/>
        </w:rPr>
        <w:t xml:space="preserve"> and </w:t>
      </w:r>
      <w:r w:rsidR="00E976E7">
        <w:rPr>
          <w:lang w:val="en-US"/>
        </w:rPr>
        <w:t xml:space="preserve">corresponding </w:t>
      </w:r>
      <w:r w:rsidR="00CC34DB">
        <w:rPr>
          <w:lang w:val="en-US"/>
        </w:rPr>
        <w:t>DCI format</w:t>
      </w:r>
      <w:r w:rsidR="002562DA">
        <w:rPr>
          <w:lang w:val="en-US"/>
        </w:rPr>
        <w:t xml:space="preserve"> can be used to signal </w:t>
      </w:r>
      <w:r w:rsidR="0047754E">
        <w:rPr>
          <w:lang w:val="en-US"/>
        </w:rPr>
        <w:t>non-contiguous allocation</w:t>
      </w:r>
      <w:r w:rsidR="00CB0A35">
        <w:rPr>
          <w:lang w:val="en-US"/>
        </w:rPr>
        <w:t xml:space="preserve"> to SBFD aware UE</w:t>
      </w:r>
      <w:r w:rsidR="00483391">
        <w:rPr>
          <w:lang w:val="en-US"/>
        </w:rPr>
        <w:t>s</w:t>
      </w:r>
      <w:r w:rsidR="00E976E7">
        <w:rPr>
          <w:lang w:val="en-US"/>
        </w:rPr>
        <w:t>. This requires</w:t>
      </w:r>
      <w:r w:rsidR="002E5787">
        <w:rPr>
          <w:lang w:val="en-US"/>
        </w:rPr>
        <w:t xml:space="preserve"> an SBFD aware UE </w:t>
      </w:r>
      <w:r w:rsidR="00E976E7">
        <w:rPr>
          <w:lang w:val="en-US"/>
        </w:rPr>
        <w:t>to</w:t>
      </w:r>
      <w:r w:rsidR="002E5787">
        <w:rPr>
          <w:lang w:val="en-US"/>
        </w:rPr>
        <w:t xml:space="preserve"> reinterpret the RIV </w:t>
      </w:r>
      <w:r w:rsidR="00A91C2D">
        <w:rPr>
          <w:lang w:val="en-US"/>
        </w:rPr>
        <w:t xml:space="preserve">in case the UL subband is located </w:t>
      </w:r>
      <w:r w:rsidR="00CD673E">
        <w:rPr>
          <w:lang w:val="en-US"/>
        </w:rPr>
        <w:t xml:space="preserve">between two DL subbands in the </w:t>
      </w:r>
      <w:r w:rsidR="00190348">
        <w:rPr>
          <w:lang w:val="en-US"/>
        </w:rPr>
        <w:t xml:space="preserve">DL </w:t>
      </w:r>
      <w:r w:rsidR="00CD673E">
        <w:rPr>
          <w:lang w:val="en-US"/>
        </w:rPr>
        <w:t>BWP</w:t>
      </w:r>
      <w:r w:rsidR="00C258FD">
        <w:rPr>
          <w:lang w:val="en-US"/>
        </w:rPr>
        <w:t xml:space="preserve"> </w:t>
      </w:r>
      <w:r w:rsidR="00E976E7">
        <w:rPr>
          <w:lang w:val="en-US"/>
        </w:rPr>
        <w:t xml:space="preserve">The new </w:t>
      </w:r>
      <w:r w:rsidR="0052435E">
        <w:rPr>
          <w:lang w:val="en-US"/>
        </w:rPr>
        <w:t>reference</w:t>
      </w:r>
      <w:r w:rsidR="00E976E7">
        <w:rPr>
          <w:lang w:val="en-US"/>
        </w:rPr>
        <w:t xml:space="preserve"> point and modulo operation to determine the index of the allocated RBs</w:t>
      </w:r>
      <w:r w:rsidR="0052435E">
        <w:rPr>
          <w:lang w:val="en-US"/>
        </w:rPr>
        <w:t xml:space="preserve"> </w:t>
      </w:r>
      <w:r w:rsidR="00E976E7">
        <w:rPr>
          <w:lang w:val="en-US"/>
        </w:rPr>
        <w:t xml:space="preserve">in SBFD slots/symbols </w:t>
      </w:r>
      <w:r w:rsidR="00C258FD">
        <w:rPr>
          <w:lang w:val="en-US"/>
        </w:rPr>
        <w:t xml:space="preserve">can also be used for </w:t>
      </w:r>
      <w:r w:rsidR="00E976E7">
        <w:rPr>
          <w:lang w:val="en-US"/>
        </w:rPr>
        <w:t xml:space="preserve">FDRA </w:t>
      </w:r>
      <w:r w:rsidR="00C258FD">
        <w:rPr>
          <w:lang w:val="en-US"/>
        </w:rPr>
        <w:t xml:space="preserve">Type 0 </w:t>
      </w:r>
      <w:r w:rsidR="00E46E37">
        <w:rPr>
          <w:lang w:val="en-US"/>
        </w:rPr>
        <w:t xml:space="preserve">to limit the number of RBGs </w:t>
      </w:r>
      <w:r w:rsidR="001B0400">
        <w:rPr>
          <w:lang w:val="en-US"/>
        </w:rPr>
        <w:t>overlapping with DL subband boundary</w:t>
      </w:r>
      <w:r w:rsidR="0052435E">
        <w:rPr>
          <w:lang w:val="en-US"/>
        </w:rPr>
        <w:t>.</w:t>
      </w:r>
      <w:r w:rsidR="00E46E37">
        <w:rPr>
          <w:lang w:val="en-US"/>
        </w:rPr>
        <w:t xml:space="preserve"> </w:t>
      </w:r>
    </w:p>
    <w:p w14:paraId="36A129C0" w14:textId="776476B9" w:rsidR="007F7623" w:rsidRDefault="007F7623" w:rsidP="005F69B8">
      <w:pPr>
        <w:pStyle w:val="Observation"/>
      </w:pPr>
      <w:bookmarkStart w:id="769" w:name="_Toc142394817"/>
      <w:bookmarkStart w:id="770" w:name="_Toc142394909"/>
      <w:bookmarkStart w:id="771" w:name="_Toc142397656"/>
      <w:bookmarkStart w:id="772" w:name="_Toc142397754"/>
      <w:bookmarkStart w:id="773" w:name="_Toc142397961"/>
      <w:bookmarkStart w:id="774" w:name="_Toc142399687"/>
      <w:bookmarkStart w:id="775" w:name="_Toc142400773"/>
      <w:bookmarkStart w:id="776" w:name="_Toc142400872"/>
      <w:bookmarkStart w:id="777" w:name="_Toc142400970"/>
      <w:bookmarkStart w:id="778" w:name="_Toc142401080"/>
      <w:bookmarkStart w:id="779" w:name="_Toc142401253"/>
      <w:bookmarkStart w:id="780" w:name="_Toc142466597"/>
      <w:bookmarkStart w:id="781" w:name="_Toc142481216"/>
      <w:bookmarkStart w:id="782" w:name="_Toc142482030"/>
      <w:r>
        <w:t>B</w:t>
      </w:r>
      <w:r w:rsidR="001B296D">
        <w:t xml:space="preserve">y changing the reference RB </w:t>
      </w:r>
      <w:r w:rsidR="008A077D">
        <w:t>in type 1 FDRA</w:t>
      </w:r>
      <w:r w:rsidR="006A7C65">
        <w:t xml:space="preserve"> allocation</w:t>
      </w:r>
      <w:r w:rsidR="00A172DF">
        <w:t xml:space="preserve"> in case the UL subband is located between two DL subbands in the BWP,</w:t>
      </w:r>
      <w:r w:rsidR="006A7C65">
        <w:t xml:space="preserve"> and wrap-around the </w:t>
      </w:r>
      <w:r w:rsidR="00D96E59">
        <w:t>PR</w:t>
      </w:r>
      <w:r w:rsidR="00B87346">
        <w:t>B index</w:t>
      </w:r>
      <w:r w:rsidR="00A172DF">
        <w:t xml:space="preserve"> it is possible to </w:t>
      </w:r>
      <w:r w:rsidR="006A7C65">
        <w:t>use the RIV and DCI formats to provide non-contiguous</w:t>
      </w:r>
      <w:r w:rsidR="009C1212">
        <w:t xml:space="preserve"> allocation in type-1 FDRA</w:t>
      </w:r>
      <w:bookmarkEnd w:id="769"/>
      <w:bookmarkEnd w:id="770"/>
      <w:bookmarkEnd w:id="771"/>
      <w:bookmarkEnd w:id="772"/>
      <w:bookmarkEnd w:id="773"/>
      <w:r w:rsidR="00A76DA8">
        <w:t>.</w:t>
      </w:r>
      <w:bookmarkEnd w:id="774"/>
      <w:bookmarkEnd w:id="775"/>
      <w:bookmarkEnd w:id="776"/>
      <w:bookmarkEnd w:id="777"/>
      <w:bookmarkEnd w:id="778"/>
      <w:bookmarkEnd w:id="779"/>
      <w:bookmarkEnd w:id="780"/>
      <w:bookmarkEnd w:id="781"/>
      <w:bookmarkEnd w:id="782"/>
    </w:p>
    <w:p w14:paraId="0C088DD3" w14:textId="2EC487EB" w:rsidR="00297D17" w:rsidRDefault="009E0C88" w:rsidP="00297D17">
      <w:pPr>
        <w:keepNext/>
        <w:spacing w:after="120"/>
        <w:jc w:val="center"/>
      </w:pPr>
      <w:r w:rsidRPr="009E0C88">
        <w:rPr>
          <w:noProof/>
        </w:rPr>
        <w:t xml:space="preserve"> </w:t>
      </w:r>
      <w:r>
        <w:rPr>
          <w:noProof/>
        </w:rPr>
        <w:drawing>
          <wp:inline distT="0" distB="0" distL="0" distR="0" wp14:anchorId="0B19EBD0" wp14:editId="64D88085">
            <wp:extent cx="3668760" cy="4514850"/>
            <wp:effectExtent l="0" t="0" r="8255" b="0"/>
            <wp:docPr id="17" name="Picture 17"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a graph&#10;&#10;Description automatically generated with medium confidence"/>
                    <pic:cNvPicPr/>
                  </pic:nvPicPr>
                  <pic:blipFill>
                    <a:blip r:embed="rId27"/>
                    <a:stretch>
                      <a:fillRect/>
                    </a:stretch>
                  </pic:blipFill>
                  <pic:spPr>
                    <a:xfrm>
                      <a:off x="0" y="0"/>
                      <a:ext cx="3675354" cy="4522964"/>
                    </a:xfrm>
                    <a:prstGeom prst="rect">
                      <a:avLst/>
                    </a:prstGeom>
                  </pic:spPr>
                </pic:pic>
              </a:graphicData>
            </a:graphic>
          </wp:inline>
        </w:drawing>
      </w:r>
    </w:p>
    <w:p w14:paraId="4B5A36CF" w14:textId="093F51FA" w:rsidR="00F70970" w:rsidRDefault="00297D17" w:rsidP="00F320F1">
      <w:pPr>
        <w:pStyle w:val="Caption"/>
        <w:jc w:val="center"/>
      </w:pPr>
      <w:bookmarkStart w:id="783" w:name="_Ref142397240"/>
      <w:r>
        <w:t xml:space="preserve">Figure </w:t>
      </w:r>
      <w:r>
        <w:fldChar w:fldCharType="begin"/>
      </w:r>
      <w:r>
        <w:instrText xml:space="preserve"> SEQ Figure \* ARABIC </w:instrText>
      </w:r>
      <w:r w:rsidR="006D080B">
        <w:fldChar w:fldCharType="separate"/>
      </w:r>
      <w:r>
        <w:fldChar w:fldCharType="end"/>
      </w:r>
      <w:bookmarkEnd w:id="783"/>
      <w:r>
        <w:t xml:space="preserve"> – </w:t>
      </w:r>
      <w:r w:rsidR="00653437">
        <w:t xml:space="preserve">New </w:t>
      </w:r>
      <w:r w:rsidR="00E47D51">
        <w:t>FDRA starting</w:t>
      </w:r>
      <w:r>
        <w:t xml:space="preserve"> point </w:t>
      </w:r>
    </w:p>
    <w:p w14:paraId="076CF1F0" w14:textId="4C24308D" w:rsidR="00260A4E" w:rsidRDefault="0077020C">
      <w:pPr>
        <w:pStyle w:val="Proposal"/>
      </w:pPr>
      <w:bookmarkStart w:id="784" w:name="_Toc142394818"/>
      <w:bookmarkStart w:id="785" w:name="_Toc142394910"/>
      <w:bookmarkStart w:id="786" w:name="_Toc142397657"/>
      <w:bookmarkStart w:id="787" w:name="_Toc142397755"/>
      <w:bookmarkStart w:id="788" w:name="_Toc142397962"/>
      <w:bookmarkStart w:id="789" w:name="_Toc142399688"/>
      <w:bookmarkStart w:id="790" w:name="_Toc142400774"/>
      <w:bookmarkStart w:id="791" w:name="_Toc142400873"/>
      <w:bookmarkStart w:id="792" w:name="_Toc142400971"/>
      <w:bookmarkStart w:id="793" w:name="_Toc142401081"/>
      <w:bookmarkStart w:id="794" w:name="_Toc142401254"/>
      <w:bookmarkStart w:id="795" w:name="_Toc142466598"/>
      <w:bookmarkStart w:id="796" w:name="_Toc142481217"/>
      <w:bookmarkStart w:id="797" w:name="_Toc142482031"/>
      <w:r>
        <w:t xml:space="preserve">FDRA type 1 enhancements are needed to support allocation across two DL subbands in a SBFD symbol with </w:t>
      </w:r>
      <w:r w:rsidR="00F529B8">
        <w:t>one RIV and existing DCI formats</w:t>
      </w:r>
      <w:r>
        <w:t>.</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rsidDel="0077020C">
        <w:t xml:space="preserve"> </w:t>
      </w:r>
    </w:p>
    <w:p w14:paraId="7CFAF247" w14:textId="009F69EE" w:rsidR="000D5004" w:rsidRPr="00EA241C" w:rsidRDefault="000D5004" w:rsidP="00260A4E">
      <w:pPr>
        <w:spacing w:after="120"/>
        <w:jc w:val="both"/>
        <w:rPr>
          <w:b/>
          <w:bCs/>
          <w:i/>
          <w:iCs/>
          <w:lang w:val="en-US"/>
        </w:rPr>
      </w:pPr>
    </w:p>
    <w:p w14:paraId="5D80B487" w14:textId="7A8499A2" w:rsidR="000D4157" w:rsidRDefault="000D4157" w:rsidP="000D4157">
      <w:pPr>
        <w:pStyle w:val="Heading5"/>
        <w:rPr>
          <w:lang w:val="en-US"/>
        </w:rPr>
      </w:pPr>
      <w:r>
        <w:rPr>
          <w:lang w:val="en-US"/>
        </w:rPr>
        <w:t>CSI-RS</w:t>
      </w:r>
      <w:r w:rsidR="000308CB">
        <w:rPr>
          <w:lang w:val="en-US"/>
        </w:rPr>
        <w:t xml:space="preserve"> and CSI reporting</w:t>
      </w:r>
    </w:p>
    <w:p w14:paraId="4195F12A" w14:textId="77777777" w:rsidR="00F30570" w:rsidRPr="00F30570" w:rsidRDefault="00F30570" w:rsidP="00FF4C8E">
      <w:pPr>
        <w:rPr>
          <w:lang w:val="en-US"/>
        </w:rPr>
      </w:pPr>
    </w:p>
    <w:p w14:paraId="0EFA4242" w14:textId="1B266A55" w:rsidR="000368EF" w:rsidRDefault="00D560A1" w:rsidP="00D560A1">
      <w:pPr>
        <w:spacing w:after="120"/>
        <w:jc w:val="both"/>
        <w:rPr>
          <w:lang w:val="en-US"/>
        </w:rPr>
      </w:pPr>
      <w:r>
        <w:rPr>
          <w:lang w:val="en-US"/>
        </w:rPr>
        <w:t>CSI-RS has similar frequency resource fragmentation problem as described for PDSCH in the previous section</w:t>
      </w:r>
      <w:r w:rsidR="00BC199E">
        <w:rPr>
          <w:lang w:val="en-US"/>
        </w:rPr>
        <w:t xml:space="preserve">, especially in a DUD configuration. </w:t>
      </w:r>
      <w:r w:rsidR="005050F1">
        <w:rPr>
          <w:lang w:val="en-US"/>
        </w:rPr>
        <w:t>There are two</w:t>
      </w:r>
      <w:r w:rsidR="003235BE">
        <w:rPr>
          <w:lang w:val="en-US"/>
        </w:rPr>
        <w:t xml:space="preserve"> alternatives being discussed for the CSI-RS </w:t>
      </w:r>
      <w:r w:rsidR="00C8431E">
        <w:rPr>
          <w:lang w:val="en-US"/>
        </w:rPr>
        <w:t>resource allocation</w:t>
      </w:r>
      <w:r w:rsidR="00307DD5">
        <w:rPr>
          <w:lang w:val="en-US"/>
        </w:rPr>
        <w:t>: contiguous or non-contiguous.</w:t>
      </w:r>
      <w:r w:rsidR="00C8431E">
        <w:rPr>
          <w:lang w:val="en-US"/>
        </w:rPr>
        <w:t xml:space="preserve"> </w:t>
      </w:r>
      <w:r w:rsidR="003404CB">
        <w:rPr>
          <w:lang w:val="en-US"/>
        </w:rPr>
        <w:t xml:space="preserve">Enhancements are needed </w:t>
      </w:r>
      <w:r w:rsidR="002F6C49">
        <w:rPr>
          <w:lang w:val="en-US"/>
        </w:rPr>
        <w:t>to support non-contiguous allocation</w:t>
      </w:r>
      <w:r w:rsidR="003404CB">
        <w:rPr>
          <w:lang w:val="en-US"/>
        </w:rPr>
        <w:t>.</w:t>
      </w:r>
      <w:r w:rsidR="00445CC7">
        <w:rPr>
          <w:lang w:val="en-US"/>
        </w:rPr>
        <w:t xml:space="preserve"> </w:t>
      </w:r>
      <w:r w:rsidR="005E473D">
        <w:rPr>
          <w:lang w:val="en-US"/>
        </w:rPr>
        <w:t xml:space="preserve">Contiguous </w:t>
      </w:r>
      <w:r w:rsidR="00445CC7">
        <w:rPr>
          <w:lang w:val="en-US"/>
        </w:rPr>
        <w:t>allocation is already supported in the specification,</w:t>
      </w:r>
      <w:r w:rsidR="003235BE">
        <w:rPr>
          <w:lang w:val="en-US"/>
        </w:rPr>
        <w:t xml:space="preserve"> </w:t>
      </w:r>
      <w:r w:rsidR="000368EF">
        <w:rPr>
          <w:lang w:val="en-US"/>
        </w:rPr>
        <w:t>but in case of a DUD SBFD configuration would require that two different resources are configured, one in each sub-band.</w:t>
      </w:r>
    </w:p>
    <w:p w14:paraId="193FF219" w14:textId="449A64E1" w:rsidR="005D0AC2" w:rsidRDefault="005D0AC2" w:rsidP="00D560A1">
      <w:pPr>
        <w:spacing w:after="120"/>
        <w:jc w:val="both"/>
        <w:rPr>
          <w:lang w:val="en-US"/>
        </w:rPr>
      </w:pPr>
      <w:r>
        <w:rPr>
          <w:lang w:val="en-US"/>
        </w:rPr>
        <w:t xml:space="preserve">In </w:t>
      </w:r>
      <w:r w:rsidR="009126AD">
        <w:rPr>
          <w:lang w:val="en-US"/>
        </w:rPr>
        <w:t xml:space="preserve">the RAN1 #112, two options have been agreed, and </w:t>
      </w:r>
      <w:r w:rsidR="00F15270">
        <w:rPr>
          <w:lang w:val="en-US"/>
        </w:rPr>
        <w:t>in in RAN1 #112bis the discussion continued</w:t>
      </w:r>
      <w:r w:rsidR="00806BB0">
        <w:rPr>
          <w:lang w:val="en-US"/>
        </w:rPr>
        <w:t xml:space="preserve"> with further agreements and conclusions: </w:t>
      </w:r>
    </w:p>
    <w:tbl>
      <w:tblPr>
        <w:tblStyle w:val="TableGrid"/>
        <w:tblW w:w="0" w:type="auto"/>
        <w:tblLook w:val="04A0" w:firstRow="1" w:lastRow="0" w:firstColumn="1" w:lastColumn="0" w:noHBand="0" w:noVBand="1"/>
      </w:tblPr>
      <w:tblGrid>
        <w:gridCol w:w="9629"/>
      </w:tblGrid>
      <w:tr w:rsidR="009B38C0" w14:paraId="104D569D" w14:textId="77777777" w:rsidTr="005D0AC2">
        <w:tc>
          <w:tcPr>
            <w:tcW w:w="9629" w:type="dxa"/>
          </w:tcPr>
          <w:p w14:paraId="7D83001D" w14:textId="32FE8997" w:rsidR="00806BB0" w:rsidRDefault="00806BB0" w:rsidP="005D0AC2">
            <w:pPr>
              <w:overflowPunct/>
              <w:autoSpaceDE/>
              <w:autoSpaceDN/>
              <w:adjustRightInd/>
              <w:spacing w:after="0"/>
              <w:ind w:left="540"/>
              <w:textAlignment w:val="auto"/>
              <w:rPr>
                <w:rFonts w:ascii="Times" w:eastAsia="Times New Roman" w:hAnsi="Times" w:cs="Times"/>
                <w:b/>
                <w:highlight w:val="green"/>
              </w:rPr>
            </w:pPr>
            <w:r>
              <w:rPr>
                <w:rFonts w:ascii="Times" w:eastAsia="Times New Roman" w:hAnsi="Times" w:cs="Times"/>
                <w:b/>
                <w:highlight w:val="green"/>
              </w:rPr>
              <w:t>RAN1 #112</w:t>
            </w:r>
          </w:p>
          <w:p w14:paraId="3D1373CA" w14:textId="32FE8997" w:rsidR="005D0AC2" w:rsidRPr="005D0AC2" w:rsidRDefault="005D0AC2" w:rsidP="005D0AC2">
            <w:pPr>
              <w:overflowPunct/>
              <w:autoSpaceDE/>
              <w:autoSpaceDN/>
              <w:adjustRightInd/>
              <w:spacing w:after="0"/>
              <w:ind w:left="540"/>
              <w:textAlignment w:val="auto"/>
              <w:rPr>
                <w:rFonts w:ascii="Times" w:eastAsia="Times New Roman" w:hAnsi="Times" w:cs="Times"/>
              </w:rPr>
            </w:pPr>
            <w:r w:rsidRPr="005D0AC2">
              <w:rPr>
                <w:rFonts w:ascii="Times" w:eastAsia="Times New Roman" w:hAnsi="Times" w:cs="Times"/>
                <w:b/>
                <w:highlight w:val="green"/>
              </w:rPr>
              <w:t>Agreement:</w:t>
            </w:r>
          </w:p>
          <w:p w14:paraId="2E4DD391" w14:textId="77777777" w:rsidR="005D0AC2" w:rsidRPr="005D0AC2" w:rsidRDefault="005D0AC2" w:rsidP="005D0AC2">
            <w:pPr>
              <w:overflowPunct/>
              <w:autoSpaceDE/>
              <w:autoSpaceDN/>
              <w:adjustRightInd/>
              <w:spacing w:after="0"/>
              <w:ind w:left="540"/>
              <w:textAlignment w:val="auto"/>
              <w:rPr>
                <w:rFonts w:ascii="Times" w:eastAsia="Times New Roman" w:hAnsi="Times" w:cs="Times"/>
              </w:rPr>
            </w:pPr>
            <w:r w:rsidRPr="005D0AC2">
              <w:rPr>
                <w:rFonts w:ascii="Times" w:eastAsia="Times New Roman" w:hAnsi="Times" w:cs="Times"/>
              </w:rPr>
              <w:t>Study the frequency resource allocation for CSI-RS across downlink subbands for SBFD-aware UEs considering the following options:</w:t>
            </w:r>
          </w:p>
          <w:p w14:paraId="7ABA2A94" w14:textId="77777777" w:rsidR="005D0AC2" w:rsidRPr="005D0AC2" w:rsidRDefault="005D0AC2">
            <w:pPr>
              <w:numPr>
                <w:ilvl w:val="0"/>
                <w:numId w:val="49"/>
              </w:numPr>
              <w:overflowPunct/>
              <w:autoSpaceDE/>
              <w:autoSpaceDN/>
              <w:adjustRightInd/>
              <w:spacing w:after="0"/>
              <w:textAlignment w:val="center"/>
              <w:rPr>
                <w:rFonts w:ascii="Calibri" w:eastAsia="Times New Roman" w:hAnsi="Calibri" w:cs="Calibri"/>
                <w:sz w:val="22"/>
                <w:szCs w:val="22"/>
                <w:lang w:val="en-US"/>
              </w:rPr>
            </w:pPr>
            <w:r w:rsidRPr="005D0AC2">
              <w:rPr>
                <w:rFonts w:ascii="Times" w:eastAsia="Times New Roman" w:hAnsi="Times" w:cs="Times"/>
                <w:lang w:val="en-US"/>
              </w:rPr>
              <w:t>Option 1: Two contiguous CSI-RS resources that are linked</w:t>
            </w:r>
          </w:p>
          <w:p w14:paraId="530065DA" w14:textId="77777777" w:rsidR="005D0AC2" w:rsidRPr="005D0AC2" w:rsidRDefault="005D0AC2">
            <w:pPr>
              <w:numPr>
                <w:ilvl w:val="0"/>
                <w:numId w:val="49"/>
              </w:numPr>
              <w:overflowPunct/>
              <w:autoSpaceDE/>
              <w:autoSpaceDN/>
              <w:adjustRightInd/>
              <w:spacing w:after="0"/>
              <w:textAlignment w:val="center"/>
              <w:rPr>
                <w:rFonts w:ascii="Calibri" w:eastAsia="Times New Roman" w:hAnsi="Calibri" w:cs="Calibri"/>
                <w:sz w:val="22"/>
                <w:szCs w:val="22"/>
                <w:lang w:val="en-US"/>
              </w:rPr>
            </w:pPr>
            <w:r w:rsidRPr="005D0AC2">
              <w:rPr>
                <w:rFonts w:ascii="Times" w:eastAsia="Times New Roman" w:hAnsi="Times" w:cs="Times"/>
                <w:lang w:val="en-US"/>
              </w:rPr>
              <w:t>Option 2: One CSI-RS resource</w:t>
            </w:r>
          </w:p>
          <w:p w14:paraId="51504039" w14:textId="32FE8997" w:rsidR="005D0AC2" w:rsidRPr="005D0AC2" w:rsidRDefault="005D0AC2">
            <w:pPr>
              <w:numPr>
                <w:ilvl w:val="1"/>
                <w:numId w:val="49"/>
              </w:numPr>
              <w:overflowPunct/>
              <w:autoSpaceDE/>
              <w:autoSpaceDN/>
              <w:adjustRightInd/>
              <w:spacing w:after="0"/>
              <w:textAlignment w:val="center"/>
              <w:rPr>
                <w:rFonts w:ascii="Calibri" w:eastAsia="Times New Roman" w:hAnsi="Calibri" w:cs="Calibri"/>
                <w:sz w:val="22"/>
                <w:szCs w:val="22"/>
                <w:lang w:val="en-US"/>
              </w:rPr>
            </w:pPr>
            <w:r w:rsidRPr="005D0AC2">
              <w:rPr>
                <w:rFonts w:ascii="Times" w:eastAsia="Times New Roman" w:hAnsi="Times" w:cs="Times"/>
                <w:lang w:val="en-US"/>
              </w:rPr>
              <w:t>Option 2-1: Non-contiguous CSI-RS resource allocation</w:t>
            </w:r>
          </w:p>
          <w:p w14:paraId="3C5899C6" w14:textId="32FE8997" w:rsidR="00806BB0" w:rsidRPr="00742A4B" w:rsidRDefault="005D0AC2" w:rsidP="00806BB0">
            <w:pPr>
              <w:numPr>
                <w:ilvl w:val="1"/>
                <w:numId w:val="49"/>
              </w:numPr>
              <w:overflowPunct/>
              <w:autoSpaceDE/>
              <w:autoSpaceDN/>
              <w:adjustRightInd/>
              <w:spacing w:after="0"/>
              <w:textAlignment w:val="center"/>
              <w:rPr>
                <w:rFonts w:ascii="Calibri" w:eastAsia="Times New Roman" w:hAnsi="Calibri" w:cs="Calibri"/>
                <w:sz w:val="22"/>
                <w:szCs w:val="22"/>
                <w:lang w:val="en-US"/>
              </w:rPr>
            </w:pPr>
            <w:r w:rsidRPr="005D0AC2">
              <w:rPr>
                <w:rFonts w:ascii="Times" w:eastAsia="Times New Roman" w:hAnsi="Times" w:cs="Times"/>
                <w:lang w:val="en-US"/>
              </w:rPr>
              <w:t xml:space="preserve">Option 2-2: One contiguous CSI-RS resource allocation with non-contiguous CSI-RS resource derived by excluding frequency resources outside DL subband (s) </w:t>
            </w:r>
          </w:p>
          <w:p w14:paraId="60929512" w14:textId="32FE8997" w:rsidR="00806BB0" w:rsidRDefault="00806BB0" w:rsidP="00806BB0">
            <w:pPr>
              <w:overflowPunct/>
              <w:autoSpaceDE/>
              <w:autoSpaceDN/>
              <w:adjustRightInd/>
              <w:spacing w:after="0"/>
              <w:textAlignment w:val="center"/>
              <w:rPr>
                <w:rFonts w:ascii="Times" w:eastAsia="Times New Roman" w:hAnsi="Times" w:cs="Times"/>
                <w:lang w:val="en-US"/>
              </w:rPr>
            </w:pPr>
          </w:p>
          <w:p w14:paraId="01671639" w14:textId="32FE8997" w:rsidR="00806BB0" w:rsidRDefault="00806BB0" w:rsidP="00806BB0">
            <w:pPr>
              <w:overflowPunct/>
              <w:autoSpaceDE/>
              <w:autoSpaceDN/>
              <w:adjustRightInd/>
              <w:spacing w:after="0"/>
              <w:ind w:left="540"/>
              <w:textAlignment w:val="auto"/>
              <w:rPr>
                <w:rFonts w:ascii="Times" w:eastAsia="Times New Roman" w:hAnsi="Times" w:cs="Times"/>
                <w:b/>
                <w:highlight w:val="green"/>
              </w:rPr>
            </w:pPr>
            <w:r>
              <w:rPr>
                <w:rFonts w:ascii="Times" w:eastAsia="Times New Roman" w:hAnsi="Times" w:cs="Times"/>
                <w:b/>
                <w:highlight w:val="green"/>
              </w:rPr>
              <w:t>RAN1 #112bis-e</w:t>
            </w:r>
          </w:p>
          <w:p w14:paraId="2BBC4897" w14:textId="32FE8997" w:rsidR="00806BB0" w:rsidRPr="00362B37" w:rsidRDefault="00806BB0" w:rsidP="00806BB0">
            <w:pPr>
              <w:spacing w:after="0"/>
              <w:ind w:left="540"/>
              <w:rPr>
                <w:rFonts w:ascii="Times" w:eastAsia="Times New Roman" w:hAnsi="Times" w:cs="Times"/>
                <w:lang w:val="en-US"/>
              </w:rPr>
            </w:pPr>
            <w:r w:rsidRPr="00362B37">
              <w:rPr>
                <w:rFonts w:ascii="Times" w:eastAsia="Times New Roman" w:hAnsi="Times" w:cs="Times"/>
                <w:b/>
                <w:lang w:val="en-US"/>
              </w:rPr>
              <w:t>Conclusion</w:t>
            </w:r>
          </w:p>
          <w:p w14:paraId="71398180"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rPr>
              <w:t>For the options agreed to study in RAN1#112 for frequency resource allocation for CSI-RS across downlink subbands for SBFD-aware UEs, the following observations are agreed.</w:t>
            </w:r>
          </w:p>
          <w:p w14:paraId="4629F1A1" w14:textId="32FE8997" w:rsidR="00806BB0" w:rsidRPr="00362B37" w:rsidRDefault="00806BB0" w:rsidP="00806BB0">
            <w:pPr>
              <w:numPr>
                <w:ilvl w:val="0"/>
                <w:numId w:val="110"/>
              </w:numPr>
              <w:spacing w:after="0"/>
              <w:textAlignment w:val="center"/>
              <w:rPr>
                <w:rFonts w:ascii="Calibri" w:eastAsia="Times New Roman" w:hAnsi="Calibri" w:cs="Calibri"/>
              </w:rPr>
            </w:pPr>
            <w:r w:rsidRPr="00362B37">
              <w:rPr>
                <w:rFonts w:ascii="Times" w:eastAsia="Times New Roman" w:hAnsi="Times" w:cs="Times"/>
              </w:rPr>
              <w:t>For all the options, there is no impact on CSI-RS sequence generation.</w:t>
            </w:r>
          </w:p>
          <w:p w14:paraId="52277724" w14:textId="32FE8997" w:rsidR="00806BB0" w:rsidRPr="00362B37" w:rsidRDefault="00806BB0" w:rsidP="00806BB0">
            <w:pPr>
              <w:numPr>
                <w:ilvl w:val="0"/>
                <w:numId w:val="110"/>
              </w:numPr>
              <w:spacing w:after="0"/>
              <w:textAlignment w:val="center"/>
              <w:rPr>
                <w:rFonts w:ascii="Calibri" w:eastAsia="Times New Roman" w:hAnsi="Calibri" w:cs="Calibri"/>
              </w:rPr>
            </w:pPr>
            <w:r w:rsidRPr="00362B37">
              <w:rPr>
                <w:rFonts w:ascii="Times" w:eastAsia="Times New Roman" w:hAnsi="Times" w:cs="Times"/>
              </w:rPr>
              <w:t xml:space="preserve">Option 1 requires additional signalling to link two CSI-RS resources in two DL subbands. </w:t>
            </w:r>
          </w:p>
          <w:p w14:paraId="4F128F1F" w14:textId="32FE8997" w:rsidR="00806BB0" w:rsidRPr="00362B37" w:rsidRDefault="00806BB0" w:rsidP="00806BB0">
            <w:pPr>
              <w:numPr>
                <w:ilvl w:val="0"/>
                <w:numId w:val="110"/>
              </w:numPr>
              <w:spacing w:after="0"/>
              <w:textAlignment w:val="center"/>
              <w:rPr>
                <w:rFonts w:ascii="Calibri" w:eastAsia="Times New Roman" w:hAnsi="Calibri" w:cs="Calibri"/>
              </w:rPr>
            </w:pPr>
            <w:r w:rsidRPr="00362B37">
              <w:rPr>
                <w:rFonts w:ascii="Times" w:eastAsia="Times New Roman" w:hAnsi="Times" w:cs="Times"/>
              </w:rPr>
              <w:t xml:space="preserve">Option 2-1 requires new RRC structure to configure non-contiguous RBs for one CSI-RS resource, which may require additional signalling overhead. </w:t>
            </w:r>
          </w:p>
          <w:p w14:paraId="16097972" w14:textId="32FE8997" w:rsidR="00806BB0" w:rsidRPr="00362B37" w:rsidRDefault="00806BB0" w:rsidP="00806BB0">
            <w:pPr>
              <w:numPr>
                <w:ilvl w:val="0"/>
                <w:numId w:val="110"/>
              </w:numPr>
              <w:spacing w:after="0"/>
              <w:textAlignment w:val="center"/>
              <w:rPr>
                <w:rFonts w:ascii="Calibri" w:eastAsia="Times New Roman" w:hAnsi="Calibri" w:cs="Calibri"/>
              </w:rPr>
            </w:pPr>
            <w:r w:rsidRPr="00362B37">
              <w:rPr>
                <w:rFonts w:ascii="Times" w:eastAsia="Times New Roman" w:hAnsi="Times" w:cs="Times"/>
              </w:rPr>
              <w:t>Option 2-2 can reuse the existing signalling design for CSI-RS resource configuration. Option 2-2 can be used to resolve the potential unaligned boundaries between CSI-RS resource configuration and SBFD subbands</w:t>
            </w:r>
          </w:p>
          <w:p w14:paraId="0484D472" w14:textId="32FE8997" w:rsidR="00806BB0" w:rsidRPr="00362B37" w:rsidRDefault="00806BB0" w:rsidP="00806BB0">
            <w:pPr>
              <w:numPr>
                <w:ilvl w:val="0"/>
                <w:numId w:val="110"/>
              </w:numPr>
              <w:spacing w:after="0"/>
              <w:textAlignment w:val="center"/>
              <w:rPr>
                <w:rFonts w:ascii="Calibri" w:eastAsia="Times New Roman" w:hAnsi="Calibri" w:cs="Calibri"/>
              </w:rPr>
            </w:pPr>
            <w:r w:rsidRPr="00362B37">
              <w:rPr>
                <w:rFonts w:ascii="Times" w:eastAsia="Times New Roman" w:hAnsi="Times" w:cs="Times"/>
              </w:rPr>
              <w:t>Further discussion is required on the UE complexity due to:</w:t>
            </w:r>
          </w:p>
          <w:p w14:paraId="76D6DE92" w14:textId="32FE8997" w:rsidR="00806BB0" w:rsidRPr="00362B37" w:rsidRDefault="00806BB0" w:rsidP="00806BB0">
            <w:pPr>
              <w:numPr>
                <w:ilvl w:val="0"/>
                <w:numId w:val="111"/>
              </w:numPr>
              <w:spacing w:after="0"/>
              <w:textAlignment w:val="center"/>
              <w:rPr>
                <w:rFonts w:ascii="Calibri" w:eastAsia="Times New Roman" w:hAnsi="Calibri" w:cs="Calibri"/>
              </w:rPr>
            </w:pPr>
            <w:r w:rsidRPr="00362B37">
              <w:rPr>
                <w:rFonts w:ascii="Times" w:eastAsia="Times New Roman" w:hAnsi="Times" w:cs="Times"/>
              </w:rPr>
              <w:t>UE capability of maximum number of configured CSI-RS resources</w:t>
            </w:r>
          </w:p>
          <w:p w14:paraId="2C2579FB" w14:textId="32FE8997" w:rsidR="00806BB0" w:rsidRPr="00362B37" w:rsidRDefault="00806BB0" w:rsidP="00806BB0">
            <w:pPr>
              <w:numPr>
                <w:ilvl w:val="0"/>
                <w:numId w:val="111"/>
              </w:numPr>
              <w:spacing w:after="0"/>
              <w:textAlignment w:val="center"/>
              <w:rPr>
                <w:rFonts w:ascii="Calibri" w:eastAsia="Times New Roman" w:hAnsi="Calibri" w:cs="Calibri"/>
              </w:rPr>
            </w:pPr>
            <w:r w:rsidRPr="00362B37">
              <w:rPr>
                <w:rFonts w:ascii="Times" w:eastAsia="Times New Roman" w:hAnsi="Times" w:cs="Times"/>
              </w:rPr>
              <w:t>Processing non-contiguous CSI-RS</w:t>
            </w:r>
          </w:p>
          <w:p w14:paraId="44E32050" w14:textId="32FE8997" w:rsidR="00806BB0" w:rsidRPr="00806BB0" w:rsidRDefault="00806BB0" w:rsidP="008C4FA8">
            <w:pPr>
              <w:overflowPunct/>
              <w:autoSpaceDE/>
              <w:autoSpaceDN/>
              <w:adjustRightInd/>
              <w:spacing w:after="0"/>
              <w:textAlignment w:val="center"/>
              <w:rPr>
                <w:rFonts w:ascii="Calibri" w:eastAsia="Times New Roman" w:hAnsi="Calibri" w:cs="Calibri"/>
                <w:sz w:val="22"/>
                <w:szCs w:val="22"/>
                <w:lang w:val="en-US"/>
              </w:rPr>
            </w:pPr>
          </w:p>
          <w:p w14:paraId="6884176E"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b/>
                <w:highlight w:val="green"/>
              </w:rPr>
              <w:t>Agreement</w:t>
            </w:r>
          </w:p>
          <w:p w14:paraId="2E83C8C7"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rPr>
              <w:t>For SBFD-aware UEs, study the following options for CSI report associated with periodic/semi-persistent CSI-RS in case the periodicity is such that CSI-RS instances occur in both SBFD and non-SBFD symbols:</w:t>
            </w:r>
          </w:p>
          <w:p w14:paraId="10BA50C3" w14:textId="32FE8997" w:rsidR="00806BB0" w:rsidRPr="00362B37" w:rsidRDefault="00806BB0" w:rsidP="00806BB0">
            <w:pPr>
              <w:numPr>
                <w:ilvl w:val="0"/>
                <w:numId w:val="100"/>
              </w:numPr>
              <w:spacing w:after="0"/>
              <w:textAlignment w:val="center"/>
              <w:rPr>
                <w:rFonts w:ascii="Calibri" w:eastAsia="Times New Roman" w:hAnsi="Calibri" w:cs="Calibri"/>
              </w:rPr>
            </w:pPr>
            <w:r w:rsidRPr="00362B37">
              <w:rPr>
                <w:rFonts w:ascii="Times" w:eastAsia="Times New Roman" w:hAnsi="Times" w:cs="Times"/>
              </w:rPr>
              <w:t xml:space="preserve">Option 1: two </w:t>
            </w:r>
            <w:r w:rsidRPr="00362B37">
              <w:rPr>
                <w:rFonts w:ascii="Times" w:eastAsia="Times New Roman" w:hAnsi="Times" w:cs="Times"/>
                <w:i/>
              </w:rPr>
              <w:t>CSI-</w:t>
            </w:r>
            <w:proofErr w:type="spellStart"/>
            <w:r w:rsidRPr="00362B37">
              <w:rPr>
                <w:rFonts w:ascii="Times" w:eastAsia="Times New Roman" w:hAnsi="Times" w:cs="Times"/>
                <w:i/>
              </w:rPr>
              <w:t>ReportConfig</w:t>
            </w:r>
            <w:r w:rsidRPr="00362B37">
              <w:rPr>
                <w:rFonts w:ascii="Times" w:eastAsia="Times New Roman" w:hAnsi="Times" w:cs="Times"/>
              </w:rPr>
              <w:t>s</w:t>
            </w:r>
            <w:proofErr w:type="spellEnd"/>
            <w:r w:rsidRPr="00362B37">
              <w:rPr>
                <w:rFonts w:ascii="Times" w:eastAsia="Times New Roman" w:hAnsi="Times" w:cs="Times"/>
                <w:i/>
              </w:rPr>
              <w:t xml:space="preserve">, </w:t>
            </w:r>
            <w:r w:rsidRPr="00362B37">
              <w:rPr>
                <w:rFonts w:ascii="Times" w:eastAsia="Times New Roman" w:hAnsi="Times" w:cs="Times"/>
              </w:rPr>
              <w:t xml:space="preserve">where one is associated with SBFD symbols and the other is associated with non-SBFD </w:t>
            </w:r>
            <w:proofErr w:type="gramStart"/>
            <w:r w:rsidRPr="00362B37">
              <w:rPr>
                <w:rFonts w:ascii="Times" w:eastAsia="Times New Roman" w:hAnsi="Times" w:cs="Times"/>
              </w:rPr>
              <w:t>symbols</w:t>
            </w:r>
            <w:proofErr w:type="gramEnd"/>
          </w:p>
          <w:p w14:paraId="56B913D8" w14:textId="32FE8997" w:rsidR="00806BB0" w:rsidRPr="00566FFB" w:rsidRDefault="00806BB0" w:rsidP="00806BB0">
            <w:pPr>
              <w:numPr>
                <w:ilvl w:val="0"/>
                <w:numId w:val="101"/>
              </w:numPr>
              <w:spacing w:after="0"/>
              <w:textAlignment w:val="center"/>
              <w:rPr>
                <w:rFonts w:ascii="Calibri" w:eastAsia="Times New Roman" w:hAnsi="Calibri" w:cs="Calibri"/>
              </w:rPr>
            </w:pPr>
            <w:r w:rsidRPr="00566FFB">
              <w:rPr>
                <w:rFonts w:ascii="Times" w:eastAsia="Times New Roman" w:hAnsi="Times" w:cs="Times"/>
              </w:rPr>
              <w:t xml:space="preserve">Option 1-1: One </w:t>
            </w:r>
            <w:r w:rsidRPr="00566FFB">
              <w:rPr>
                <w:rFonts w:ascii="Times" w:eastAsia="Times New Roman" w:hAnsi="Times" w:cs="Times"/>
                <w:i/>
              </w:rPr>
              <w:t>CSI-</w:t>
            </w:r>
            <w:proofErr w:type="spellStart"/>
            <w:r w:rsidRPr="00566FFB">
              <w:rPr>
                <w:rFonts w:ascii="Times" w:eastAsia="Times New Roman" w:hAnsi="Times" w:cs="Times"/>
                <w:i/>
              </w:rPr>
              <w:t>ReportConfig</w:t>
            </w:r>
            <w:proofErr w:type="spellEnd"/>
            <w:r w:rsidRPr="00566FFB">
              <w:rPr>
                <w:rFonts w:ascii="Times" w:eastAsia="Times New Roman" w:hAnsi="Times" w:cs="Times"/>
              </w:rPr>
              <w:t xml:space="preserve"> is associated with a CSI-RS restricted to SBFD symbols only and the second </w:t>
            </w:r>
            <w:r w:rsidRPr="00566FFB">
              <w:rPr>
                <w:rFonts w:ascii="Times" w:eastAsia="Times New Roman" w:hAnsi="Times" w:cs="Times"/>
                <w:i/>
              </w:rPr>
              <w:t>CSI-</w:t>
            </w:r>
            <w:proofErr w:type="spellStart"/>
            <w:r w:rsidRPr="00566FFB">
              <w:rPr>
                <w:rFonts w:ascii="Times" w:eastAsia="Times New Roman" w:hAnsi="Times" w:cs="Times"/>
                <w:i/>
              </w:rPr>
              <w:t>ReportConfig</w:t>
            </w:r>
            <w:proofErr w:type="spellEnd"/>
            <w:r w:rsidRPr="00566FFB">
              <w:rPr>
                <w:rFonts w:ascii="Times" w:eastAsia="Times New Roman" w:hAnsi="Times" w:cs="Times"/>
              </w:rPr>
              <w:t xml:space="preserve"> is associated with a second CSI-RS restricted to non-SBFD symbols </w:t>
            </w:r>
            <w:proofErr w:type="gramStart"/>
            <w:r w:rsidRPr="00566FFB">
              <w:rPr>
                <w:rFonts w:ascii="Times" w:eastAsia="Times New Roman" w:hAnsi="Times" w:cs="Times"/>
              </w:rPr>
              <w:t>only;</w:t>
            </w:r>
            <w:proofErr w:type="gramEnd"/>
          </w:p>
          <w:p w14:paraId="153B187E" w14:textId="19EC3E99" w:rsidR="00806BB0" w:rsidRPr="00CD3537" w:rsidRDefault="00806BB0" w:rsidP="00806BB0">
            <w:pPr>
              <w:numPr>
                <w:ilvl w:val="0"/>
                <w:numId w:val="101"/>
              </w:numPr>
              <w:spacing w:after="0"/>
              <w:textAlignment w:val="center"/>
              <w:rPr>
                <w:rFonts w:ascii="Calibri" w:eastAsia="Times New Roman" w:hAnsi="Calibri" w:cs="Calibri"/>
              </w:rPr>
            </w:pPr>
            <w:r w:rsidRPr="0027228F">
              <w:rPr>
                <w:rFonts w:ascii="Times" w:eastAsia="Times New Roman" w:hAnsi="Times" w:cs="Times"/>
              </w:rPr>
              <w:t xml:space="preserve">Option 1-2: Both </w:t>
            </w:r>
            <w:r w:rsidRPr="0027228F">
              <w:rPr>
                <w:rFonts w:ascii="Times" w:eastAsia="Times New Roman" w:hAnsi="Times" w:cs="Times"/>
                <w:i/>
              </w:rPr>
              <w:t>CSI-</w:t>
            </w:r>
            <w:proofErr w:type="spellStart"/>
            <w:r w:rsidRPr="008261F6">
              <w:rPr>
                <w:rFonts w:ascii="Times" w:eastAsia="Times New Roman" w:hAnsi="Times" w:cs="Times"/>
                <w:i/>
              </w:rPr>
              <w:t>ReportConfig</w:t>
            </w:r>
            <w:r w:rsidRPr="008261F6">
              <w:rPr>
                <w:rFonts w:ascii="Times" w:eastAsia="Times New Roman" w:hAnsi="Times" w:cs="Times"/>
              </w:rPr>
              <w:t>s</w:t>
            </w:r>
            <w:proofErr w:type="spellEnd"/>
            <w:r w:rsidR="00C41891" w:rsidRPr="008261F6">
              <w:rPr>
                <w:rFonts w:ascii="Times" w:eastAsia="Times New Roman" w:hAnsi="Times" w:cs="Times"/>
              </w:rPr>
              <w:t xml:space="preserve"> </w:t>
            </w:r>
            <w:r w:rsidRPr="008261F6">
              <w:rPr>
                <w:rFonts w:ascii="Times" w:eastAsia="Times New Roman" w:hAnsi="Times" w:cs="Times"/>
              </w:rPr>
              <w:t>are</w:t>
            </w:r>
            <w:r w:rsidRPr="0027228F">
              <w:rPr>
                <w:rFonts w:ascii="Times" w:eastAsia="Times New Roman" w:hAnsi="Times" w:cs="Times"/>
              </w:rPr>
              <w:t xml:space="preserve"> associated with the same CSI-RS. The CSI report associated with one </w:t>
            </w:r>
            <w:r w:rsidRPr="00EA0240">
              <w:rPr>
                <w:rFonts w:ascii="Times" w:eastAsia="Times New Roman" w:hAnsi="Times" w:cs="Times"/>
                <w:i/>
              </w:rPr>
              <w:t>CSI-</w:t>
            </w:r>
            <w:proofErr w:type="spellStart"/>
            <w:r w:rsidRPr="00EA0240">
              <w:rPr>
                <w:rFonts w:ascii="Times" w:eastAsia="Times New Roman" w:hAnsi="Times" w:cs="Times"/>
                <w:i/>
              </w:rPr>
              <w:t>ReportConfig</w:t>
            </w:r>
            <w:proofErr w:type="spellEnd"/>
            <w:r w:rsidRPr="00EA0240">
              <w:rPr>
                <w:rFonts w:ascii="Times" w:eastAsia="Times New Roman" w:hAnsi="Times" w:cs="Times"/>
              </w:rPr>
              <w:t xml:space="preserve"> is derived based on CSI-RS instances in SBFD symbols only. The CSI report associated with the second </w:t>
            </w:r>
            <w:r w:rsidRPr="00AA2B62">
              <w:rPr>
                <w:rFonts w:ascii="Times" w:eastAsia="Times New Roman" w:hAnsi="Times" w:cs="Times"/>
                <w:i/>
              </w:rPr>
              <w:t>CSI-</w:t>
            </w:r>
            <w:proofErr w:type="spellStart"/>
            <w:r w:rsidRPr="00AA2B62">
              <w:rPr>
                <w:rFonts w:ascii="Times" w:eastAsia="Times New Roman" w:hAnsi="Times" w:cs="Times"/>
                <w:i/>
              </w:rPr>
              <w:t>ReportConfig</w:t>
            </w:r>
            <w:proofErr w:type="spellEnd"/>
            <w:r w:rsidRPr="00AA2B62">
              <w:rPr>
                <w:rFonts w:ascii="Times" w:eastAsia="Times New Roman" w:hAnsi="Times" w:cs="Times"/>
              </w:rPr>
              <w:t xml:space="preserve"> is derived based on CSI-RS instances in non-SBFD symbols only.</w:t>
            </w:r>
          </w:p>
          <w:p w14:paraId="17275724" w14:textId="32FE8997" w:rsidR="00806BB0" w:rsidRPr="00362B37" w:rsidRDefault="00806BB0" w:rsidP="00806BB0">
            <w:pPr>
              <w:numPr>
                <w:ilvl w:val="0"/>
                <w:numId w:val="102"/>
              </w:numPr>
              <w:spacing w:after="0"/>
              <w:textAlignment w:val="center"/>
              <w:rPr>
                <w:rFonts w:ascii="Calibri" w:eastAsia="Times New Roman" w:hAnsi="Calibri" w:cs="Calibri"/>
              </w:rPr>
            </w:pPr>
            <w:r w:rsidRPr="00362B37">
              <w:rPr>
                <w:rFonts w:ascii="Times" w:eastAsia="Times New Roman" w:hAnsi="Times" w:cs="Times"/>
              </w:rPr>
              <w:t xml:space="preserve">Option 2: one </w:t>
            </w:r>
            <w:r w:rsidRPr="00362B37">
              <w:rPr>
                <w:rFonts w:ascii="Times" w:eastAsia="Times New Roman" w:hAnsi="Times" w:cs="Times"/>
                <w:i/>
              </w:rPr>
              <w:t>CSI-</w:t>
            </w:r>
            <w:proofErr w:type="spellStart"/>
            <w:r w:rsidRPr="00362B37">
              <w:rPr>
                <w:rFonts w:ascii="Times" w:eastAsia="Times New Roman" w:hAnsi="Times" w:cs="Times"/>
                <w:i/>
              </w:rPr>
              <w:t>ReportConfig</w:t>
            </w:r>
            <w:proofErr w:type="spellEnd"/>
            <w:r w:rsidRPr="00362B37">
              <w:rPr>
                <w:rFonts w:ascii="Times" w:eastAsia="Times New Roman" w:hAnsi="Times" w:cs="Times"/>
              </w:rPr>
              <w:t xml:space="preserve"> associated with both SBFD symbols and non-SBFD symbols</w:t>
            </w:r>
          </w:p>
          <w:p w14:paraId="5B46D0D9" w14:textId="32FE8997" w:rsidR="00806BB0" w:rsidRPr="00362B37" w:rsidRDefault="00806BB0" w:rsidP="00806BB0">
            <w:pPr>
              <w:numPr>
                <w:ilvl w:val="0"/>
                <w:numId w:val="103"/>
              </w:numPr>
              <w:spacing w:after="0"/>
              <w:textAlignment w:val="center"/>
              <w:rPr>
                <w:rFonts w:ascii="Calibri" w:eastAsia="Times New Roman" w:hAnsi="Calibri" w:cs="Calibri"/>
              </w:rPr>
            </w:pPr>
            <w:r w:rsidRPr="00362B37">
              <w:rPr>
                <w:rFonts w:ascii="Times" w:eastAsia="Times New Roman" w:hAnsi="Times" w:cs="Times"/>
              </w:rPr>
              <w:t xml:space="preserve">Option 2-1: One </w:t>
            </w:r>
            <w:r w:rsidRPr="00362B37">
              <w:rPr>
                <w:rFonts w:ascii="Times" w:eastAsia="Times New Roman" w:hAnsi="Times" w:cs="Times"/>
                <w:i/>
              </w:rPr>
              <w:t>CSI-</w:t>
            </w:r>
            <w:proofErr w:type="spellStart"/>
            <w:r w:rsidRPr="00362B37">
              <w:rPr>
                <w:rFonts w:ascii="Times" w:eastAsia="Times New Roman" w:hAnsi="Times" w:cs="Times"/>
                <w:i/>
              </w:rPr>
              <w:t>ReportConfig</w:t>
            </w:r>
            <w:proofErr w:type="spellEnd"/>
            <w:r w:rsidRPr="00362B37">
              <w:rPr>
                <w:rFonts w:ascii="Times" w:eastAsia="Times New Roman" w:hAnsi="Times" w:cs="Times"/>
              </w:rPr>
              <w:t xml:space="preserve"> is associated with two CSI-RSs which are restricted to SBFD symbols and non-SBFD symbols respectively. Separate CSI measurements are derived based on the first and second CSI-RSs respectively.</w:t>
            </w:r>
          </w:p>
          <w:p w14:paraId="46C70DB1" w14:textId="32FE8997" w:rsidR="00806BB0" w:rsidRPr="00362B37" w:rsidRDefault="00806BB0" w:rsidP="00806BB0">
            <w:pPr>
              <w:numPr>
                <w:ilvl w:val="0"/>
                <w:numId w:val="103"/>
              </w:numPr>
              <w:spacing w:after="0"/>
              <w:textAlignment w:val="center"/>
              <w:rPr>
                <w:rFonts w:ascii="Calibri" w:eastAsia="Times New Roman" w:hAnsi="Calibri" w:cs="Calibri"/>
              </w:rPr>
            </w:pPr>
            <w:r w:rsidRPr="00362B37">
              <w:rPr>
                <w:rFonts w:ascii="Times" w:eastAsia="Times New Roman" w:hAnsi="Times" w:cs="Times"/>
              </w:rPr>
              <w:t xml:space="preserve">Option 2-2: One </w:t>
            </w:r>
            <w:r w:rsidRPr="00362B37">
              <w:rPr>
                <w:rFonts w:ascii="Times" w:eastAsia="Times New Roman" w:hAnsi="Times" w:cs="Times"/>
                <w:i/>
              </w:rPr>
              <w:t>CSI-</w:t>
            </w:r>
            <w:proofErr w:type="spellStart"/>
            <w:r w:rsidRPr="00362B37">
              <w:rPr>
                <w:rFonts w:ascii="Times" w:eastAsia="Times New Roman" w:hAnsi="Times" w:cs="Times"/>
                <w:i/>
              </w:rPr>
              <w:t>ReportConfig</w:t>
            </w:r>
            <w:proofErr w:type="spellEnd"/>
            <w:r w:rsidRPr="00362B37">
              <w:rPr>
                <w:rFonts w:ascii="Times" w:eastAsia="Times New Roman" w:hAnsi="Times" w:cs="Times"/>
              </w:rPr>
              <w:t xml:space="preserve"> is associated with one CSI-RS. The CSI report is derived based on CSI-RS which can be in SBFD symbols or non-SBFD symbols in different time instances.</w:t>
            </w:r>
          </w:p>
          <w:p w14:paraId="5D65189D" w14:textId="32FE8997" w:rsidR="00806BB0" w:rsidRPr="00362B37" w:rsidRDefault="00806BB0" w:rsidP="00806BB0">
            <w:pPr>
              <w:numPr>
                <w:ilvl w:val="0"/>
                <w:numId w:val="104"/>
              </w:numPr>
              <w:spacing w:after="0"/>
              <w:textAlignment w:val="center"/>
              <w:rPr>
                <w:rFonts w:ascii="Calibri" w:eastAsia="Times New Roman" w:hAnsi="Calibri" w:cs="Calibri"/>
              </w:rPr>
            </w:pPr>
            <w:r w:rsidRPr="00362B37">
              <w:rPr>
                <w:rFonts w:ascii="Times" w:eastAsia="Times New Roman" w:hAnsi="Times" w:cs="Times"/>
              </w:rPr>
              <w:t>FFS impact on UE CSI processing and reporting timeline</w:t>
            </w:r>
          </w:p>
          <w:p w14:paraId="0A6E2CA9"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rPr>
              <w:t xml:space="preserve">Note: Whether the CSI-RS resource can be used for SBFD and non-SBFD symbols may depend on, e.g., gNB implementation of same/different antenna configuration in both symbols. </w:t>
            </w:r>
          </w:p>
          <w:p w14:paraId="3FB3F8E8"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rPr>
              <w:t xml:space="preserve">Option 1-1 can be supported according to existing specification by gNB configuration of appropriate periodicities to ensure that the CSI-RS associated with each </w:t>
            </w:r>
            <w:r w:rsidRPr="00362B37">
              <w:rPr>
                <w:rFonts w:ascii="Times" w:eastAsia="Times New Roman" w:hAnsi="Times" w:cs="Times"/>
                <w:i/>
              </w:rPr>
              <w:t>CSI-</w:t>
            </w:r>
            <w:proofErr w:type="spellStart"/>
            <w:r w:rsidRPr="00362B37">
              <w:rPr>
                <w:rFonts w:ascii="Times" w:eastAsia="Times New Roman" w:hAnsi="Times" w:cs="Times"/>
                <w:i/>
              </w:rPr>
              <w:t>ReportConfig</w:t>
            </w:r>
            <w:proofErr w:type="spellEnd"/>
            <w:r w:rsidRPr="00362B37">
              <w:rPr>
                <w:rFonts w:ascii="Times" w:eastAsia="Times New Roman" w:hAnsi="Times" w:cs="Times"/>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7660A7E2"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rPr>
              <w:t>Option 2-2 can be supported according to existing specification to configure measurement restriction so that UE would not average CSI measurements across SBFD and non-SBFD symbols.</w:t>
            </w:r>
          </w:p>
          <w:p w14:paraId="75156D81" w14:textId="32FE8997" w:rsidR="00806BB0" w:rsidRDefault="00806BB0" w:rsidP="00806BB0"/>
          <w:p w14:paraId="5216D6FD" w14:textId="32FE8997" w:rsidR="00806BB0" w:rsidRPr="00362B37" w:rsidRDefault="00806BB0" w:rsidP="00806BB0">
            <w:pPr>
              <w:spacing w:after="0"/>
              <w:ind w:left="540"/>
              <w:rPr>
                <w:rFonts w:ascii="Times" w:eastAsia="Times New Roman" w:hAnsi="Times" w:cs="Times"/>
              </w:rPr>
            </w:pPr>
            <w:r w:rsidRPr="00362B37">
              <w:rPr>
                <w:rFonts w:ascii="Times" w:eastAsia="Times New Roman" w:hAnsi="Times" w:cs="Times"/>
                <w:b/>
                <w:highlight w:val="green"/>
              </w:rPr>
              <w:t>Agreement</w:t>
            </w:r>
          </w:p>
          <w:p w14:paraId="51427BC1" w14:textId="32FE8997" w:rsidR="00806BB0" w:rsidRPr="00362B37" w:rsidRDefault="00806BB0" w:rsidP="00806BB0">
            <w:pPr>
              <w:numPr>
                <w:ilvl w:val="0"/>
                <w:numId w:val="112"/>
              </w:numPr>
              <w:spacing w:after="0"/>
              <w:textAlignment w:val="center"/>
              <w:rPr>
                <w:rFonts w:ascii="Calibri" w:eastAsia="Times New Roman" w:hAnsi="Calibri" w:cs="Calibri"/>
              </w:rPr>
            </w:pPr>
            <w:r w:rsidRPr="00362B37">
              <w:rPr>
                <w:rFonts w:ascii="Times" w:eastAsia="Times New Roman" w:hAnsi="Times" w:cs="Times"/>
              </w:rPr>
              <w:t>For semi-static SBFD, for a CSI-RS resource which overlaps with SBFD subband boundaries, only CSI-RS resources within DL subband(s) are valid for SBFD-aware UE.</w:t>
            </w:r>
          </w:p>
          <w:p w14:paraId="7E927EC4" w14:textId="32FE8997" w:rsidR="00806BB0" w:rsidRPr="00362B37" w:rsidRDefault="00806BB0" w:rsidP="00806BB0">
            <w:pPr>
              <w:numPr>
                <w:ilvl w:val="0"/>
                <w:numId w:val="112"/>
              </w:numPr>
              <w:spacing w:after="0"/>
              <w:textAlignment w:val="center"/>
              <w:rPr>
                <w:rFonts w:ascii="Calibri" w:eastAsia="Times New Roman" w:hAnsi="Calibri" w:cs="Calibri"/>
              </w:rPr>
            </w:pPr>
            <w:r w:rsidRPr="00362B37">
              <w:rPr>
                <w:rFonts w:ascii="Times" w:eastAsia="Times New Roman" w:hAnsi="Times" w:cs="Times"/>
                <w:lang w:val="en-US"/>
              </w:rPr>
              <w:t xml:space="preserve">For </w:t>
            </w:r>
            <w:r w:rsidRPr="00362B37">
              <w:rPr>
                <w:rFonts w:ascii="Times" w:eastAsia="Times New Roman" w:hAnsi="Times" w:cs="Times"/>
              </w:rPr>
              <w:t>semi-static SBFD, for</w:t>
            </w:r>
            <w:r w:rsidRPr="00362B37">
              <w:rPr>
                <w:rFonts w:ascii="Times" w:eastAsia="Times New Roman" w:hAnsi="Times" w:cs="Times"/>
                <w:lang w:val="en-US"/>
              </w:rPr>
              <w:t xml:space="preserve"> a CSI reporting subband which overlaps with SBFD subband boundaries, CSI report is derived based on CSI-RS resources excluding CSI-RS resources outside DL subband(s).</w:t>
            </w:r>
          </w:p>
          <w:p w14:paraId="633F592F" w14:textId="60FE8CB2" w:rsidR="005D0AC2" w:rsidRPr="001C18DB" w:rsidRDefault="005D0AC2" w:rsidP="001C18DB">
            <w:pPr>
              <w:overflowPunct/>
              <w:autoSpaceDE/>
              <w:autoSpaceDN/>
              <w:adjustRightInd/>
              <w:spacing w:after="0"/>
              <w:ind w:left="540"/>
              <w:textAlignment w:val="auto"/>
              <w:rPr>
                <w:rFonts w:ascii="Times" w:eastAsia="Times New Roman" w:hAnsi="Times" w:cs="Times"/>
                <w:lang w:val="en-US"/>
              </w:rPr>
            </w:pPr>
          </w:p>
        </w:tc>
      </w:tr>
    </w:tbl>
    <w:p w14:paraId="33FD185E" w14:textId="77777777" w:rsidR="005D0AC2" w:rsidRDefault="005D0AC2" w:rsidP="00D560A1">
      <w:pPr>
        <w:spacing w:after="120"/>
        <w:jc w:val="both"/>
        <w:rPr>
          <w:lang w:val="en-US"/>
        </w:rPr>
      </w:pPr>
    </w:p>
    <w:p w14:paraId="71A82932" w14:textId="4BDF1391" w:rsidR="00E60C3A" w:rsidRDefault="002158FF" w:rsidP="00D560A1">
      <w:pPr>
        <w:spacing w:after="120"/>
        <w:jc w:val="both"/>
        <w:rPr>
          <w:lang w:val="en-US"/>
        </w:rPr>
      </w:pPr>
      <w:r>
        <w:rPr>
          <w:lang w:val="en-US"/>
        </w:rPr>
        <w:t xml:space="preserve">When </w:t>
      </w:r>
      <w:r w:rsidR="006809FC">
        <w:rPr>
          <w:lang w:val="en-US"/>
        </w:rPr>
        <w:t>analyzing</w:t>
      </w:r>
      <w:r>
        <w:rPr>
          <w:lang w:val="en-US"/>
        </w:rPr>
        <w:t xml:space="preserve"> the different options </w:t>
      </w:r>
      <w:r w:rsidR="003A5595">
        <w:rPr>
          <w:lang w:val="en-US"/>
        </w:rPr>
        <w:t>agreed in RAN1 #112,</w:t>
      </w:r>
      <w:r w:rsidR="00AF093D">
        <w:rPr>
          <w:lang w:val="en-US"/>
        </w:rPr>
        <w:t xml:space="preserve"> </w:t>
      </w:r>
      <w:r w:rsidR="003A5595">
        <w:rPr>
          <w:lang w:val="en-US"/>
        </w:rPr>
        <w:t>i</w:t>
      </w:r>
      <w:r>
        <w:rPr>
          <w:lang w:val="en-US"/>
        </w:rPr>
        <w:t>t is important to consider different aspects</w:t>
      </w:r>
      <w:r w:rsidR="00FA2FA9">
        <w:rPr>
          <w:lang w:val="en-US"/>
        </w:rPr>
        <w:t xml:space="preserve"> such as w</w:t>
      </w:r>
      <w:r w:rsidR="00A13282">
        <w:rPr>
          <w:lang w:val="en-US"/>
        </w:rPr>
        <w:t xml:space="preserve">hether the existing specification </w:t>
      </w:r>
      <w:r w:rsidR="004122BE">
        <w:rPr>
          <w:lang w:val="en-US"/>
        </w:rPr>
        <w:t>support</w:t>
      </w:r>
      <w:r w:rsidR="00FA2FA9">
        <w:rPr>
          <w:lang w:val="en-US"/>
        </w:rPr>
        <w:t>s</w:t>
      </w:r>
      <w:r w:rsidR="004122BE">
        <w:rPr>
          <w:lang w:val="en-US"/>
        </w:rPr>
        <w:t xml:space="preserve"> the concept</w:t>
      </w:r>
      <w:r w:rsidR="00CB00AD">
        <w:rPr>
          <w:lang w:val="en-US"/>
        </w:rPr>
        <w:t xml:space="preserve"> and </w:t>
      </w:r>
      <w:r w:rsidR="00FA2FA9">
        <w:rPr>
          <w:lang w:val="en-US"/>
        </w:rPr>
        <w:t>the signaling overhead</w:t>
      </w:r>
      <w:r w:rsidR="00D1527A">
        <w:rPr>
          <w:lang w:val="en-US"/>
        </w:rPr>
        <w:t>.</w:t>
      </w:r>
      <w:r w:rsidR="0021754C">
        <w:rPr>
          <w:lang w:val="en-US"/>
        </w:rPr>
        <w:t xml:space="preserve"> This has been captured in the conclusions </w:t>
      </w:r>
      <w:r w:rsidR="00A62609">
        <w:rPr>
          <w:lang w:val="en-US"/>
        </w:rPr>
        <w:t>agreed in the last meeting.</w:t>
      </w:r>
    </w:p>
    <w:p w14:paraId="02316ED9" w14:textId="77777777" w:rsidR="00875D5A" w:rsidRDefault="00875D5A" w:rsidP="00B60D5E">
      <w:pPr>
        <w:spacing w:after="120"/>
        <w:jc w:val="both"/>
        <w:rPr>
          <w:lang w:val="en-US"/>
        </w:rPr>
      </w:pPr>
    </w:p>
    <w:p w14:paraId="2BA2DD08" w14:textId="2FDC2237" w:rsidR="00396EFF" w:rsidRDefault="005463BB" w:rsidP="00D560A1">
      <w:pPr>
        <w:spacing w:after="120"/>
        <w:jc w:val="both"/>
        <w:rPr>
          <w:lang w:val="en-US"/>
        </w:rPr>
      </w:pPr>
      <w:r>
        <w:rPr>
          <w:lang w:val="en-US"/>
        </w:rPr>
        <w:t>O</w:t>
      </w:r>
      <w:r w:rsidR="00017F92">
        <w:rPr>
          <w:lang w:val="en-US"/>
        </w:rPr>
        <w:t xml:space="preserve">ur view is </w:t>
      </w:r>
      <w:r w:rsidR="006B48F1">
        <w:rPr>
          <w:lang w:val="en-US"/>
        </w:rPr>
        <w:t xml:space="preserve">that </w:t>
      </w:r>
      <w:r w:rsidR="001E114F">
        <w:rPr>
          <w:lang w:val="en-US"/>
        </w:rPr>
        <w:t xml:space="preserve">configuring a contiguous CSI-RS resource over the entire bandwidth </w:t>
      </w:r>
      <w:r w:rsidR="0045440E">
        <w:rPr>
          <w:lang w:val="en-US"/>
        </w:rPr>
        <w:t xml:space="preserve">is </w:t>
      </w:r>
      <w:r w:rsidR="00781BC8">
        <w:rPr>
          <w:lang w:val="en-US"/>
        </w:rPr>
        <w:t xml:space="preserve">possible. </w:t>
      </w:r>
      <w:r w:rsidR="00975489">
        <w:rPr>
          <w:lang w:val="en-US"/>
        </w:rPr>
        <w:t xml:space="preserve">Rate matching around UL </w:t>
      </w:r>
      <w:proofErr w:type="spellStart"/>
      <w:r w:rsidR="00975489">
        <w:rPr>
          <w:lang w:val="en-US"/>
        </w:rPr>
        <w:t>subband</w:t>
      </w:r>
      <w:proofErr w:type="spellEnd"/>
      <w:r w:rsidR="00975489">
        <w:rPr>
          <w:lang w:val="en-US"/>
        </w:rPr>
        <w:t xml:space="preserve"> and </w:t>
      </w:r>
      <w:proofErr w:type="spellStart"/>
      <w:r w:rsidR="00975489">
        <w:rPr>
          <w:lang w:val="en-US"/>
        </w:rPr>
        <w:t>guardband</w:t>
      </w:r>
      <w:proofErr w:type="spellEnd"/>
      <w:r w:rsidR="00975489">
        <w:rPr>
          <w:lang w:val="en-US"/>
        </w:rPr>
        <w:t xml:space="preserve"> can be assumed</w:t>
      </w:r>
      <w:r w:rsidR="0095721D">
        <w:rPr>
          <w:lang w:val="en-US"/>
        </w:rPr>
        <w:t xml:space="preserve">, as also proposed </w:t>
      </w:r>
      <w:r w:rsidR="003475A3">
        <w:rPr>
          <w:lang w:val="en-US"/>
        </w:rPr>
        <w:t xml:space="preserve">for Type </w:t>
      </w:r>
      <w:r w:rsidR="0045440E">
        <w:rPr>
          <w:lang w:val="en-US"/>
        </w:rPr>
        <w:t>1</w:t>
      </w:r>
      <w:r w:rsidR="003475A3">
        <w:rPr>
          <w:lang w:val="en-US"/>
        </w:rPr>
        <w:t xml:space="preserve"> FDRA</w:t>
      </w:r>
      <w:r w:rsidR="00975489">
        <w:rPr>
          <w:lang w:val="en-US"/>
        </w:rPr>
        <w:t xml:space="preserve">. </w:t>
      </w:r>
      <w:r w:rsidR="00975489" w:rsidRPr="0077730B">
        <w:rPr>
          <w:lang w:val="en-US"/>
        </w:rPr>
        <w:t xml:space="preserve">Essentially, CSI-RS </w:t>
      </w:r>
      <w:r w:rsidR="00975489">
        <w:rPr>
          <w:lang w:val="en-US"/>
        </w:rPr>
        <w:t>resources are</w:t>
      </w:r>
      <w:r w:rsidR="00975489" w:rsidRPr="0077730B">
        <w:rPr>
          <w:lang w:val="en-US"/>
        </w:rPr>
        <w:t xml:space="preserve"> configured over the entire bandwidth, but </w:t>
      </w:r>
      <w:r w:rsidR="00975489">
        <w:rPr>
          <w:lang w:val="en-US"/>
        </w:rPr>
        <w:t xml:space="preserve">the </w:t>
      </w:r>
      <w:r w:rsidR="00975489" w:rsidRPr="0077730B">
        <w:rPr>
          <w:lang w:val="en-US"/>
        </w:rPr>
        <w:t xml:space="preserve">UE can assume CSI-RS </w:t>
      </w:r>
      <w:r w:rsidR="00975489">
        <w:rPr>
          <w:lang w:val="en-US"/>
        </w:rPr>
        <w:t>is</w:t>
      </w:r>
      <w:r w:rsidR="00975489" w:rsidRPr="0077730B">
        <w:rPr>
          <w:lang w:val="en-US"/>
        </w:rPr>
        <w:t xml:space="preserve"> not transmitted on </w:t>
      </w:r>
      <w:r w:rsidRPr="0077730B">
        <w:rPr>
          <w:lang w:val="en-US"/>
        </w:rPr>
        <w:t>R</w:t>
      </w:r>
      <w:r>
        <w:rPr>
          <w:lang w:val="en-US"/>
        </w:rPr>
        <w:t>E</w:t>
      </w:r>
      <w:r w:rsidRPr="0077730B">
        <w:rPr>
          <w:lang w:val="en-US"/>
        </w:rPr>
        <w:t xml:space="preserve">s </w:t>
      </w:r>
      <w:r w:rsidR="00975489" w:rsidRPr="0077730B">
        <w:rPr>
          <w:lang w:val="en-US"/>
        </w:rPr>
        <w:t xml:space="preserve">that are overlapping with UL </w:t>
      </w:r>
      <w:proofErr w:type="spellStart"/>
      <w:r w:rsidR="00975489" w:rsidRPr="0077730B">
        <w:rPr>
          <w:lang w:val="en-US"/>
        </w:rPr>
        <w:t>subband</w:t>
      </w:r>
      <w:proofErr w:type="spellEnd"/>
      <w:r w:rsidR="00975489" w:rsidRPr="0077730B">
        <w:rPr>
          <w:lang w:val="en-US"/>
        </w:rPr>
        <w:t xml:space="preserve"> and </w:t>
      </w:r>
      <w:proofErr w:type="spellStart"/>
      <w:r w:rsidR="00975489" w:rsidRPr="0077730B">
        <w:rPr>
          <w:lang w:val="en-US"/>
        </w:rPr>
        <w:t>guardband</w:t>
      </w:r>
      <w:proofErr w:type="spellEnd"/>
      <w:r w:rsidR="00975489" w:rsidRPr="0077730B">
        <w:rPr>
          <w:lang w:val="en-US"/>
        </w:rPr>
        <w:t xml:space="preserve"> in a SBFD slot</w:t>
      </w:r>
      <w:r w:rsidR="00975489">
        <w:rPr>
          <w:lang w:val="en-US"/>
        </w:rPr>
        <w:t>s</w:t>
      </w:r>
      <w:r w:rsidR="00975489" w:rsidRPr="0077730B">
        <w:rPr>
          <w:lang w:val="en-US"/>
        </w:rPr>
        <w:t>/</w:t>
      </w:r>
      <w:proofErr w:type="gramStart"/>
      <w:r w:rsidR="00975489" w:rsidRPr="0077730B">
        <w:rPr>
          <w:lang w:val="en-US"/>
        </w:rPr>
        <w:t>symbol</w:t>
      </w:r>
      <w:r w:rsidR="00975489">
        <w:rPr>
          <w:lang w:val="en-US"/>
        </w:rPr>
        <w:t>s</w:t>
      </w:r>
      <w:r w:rsidR="00066356">
        <w:rPr>
          <w:lang w:val="en-US"/>
        </w:rPr>
        <w:t>, and</w:t>
      </w:r>
      <w:proofErr w:type="gramEnd"/>
      <w:r w:rsidR="00066356">
        <w:rPr>
          <w:lang w:val="en-US"/>
        </w:rPr>
        <w:t xml:space="preserve"> report the CSI-RS </w:t>
      </w:r>
      <w:r w:rsidR="00396EFF">
        <w:rPr>
          <w:lang w:val="en-US"/>
        </w:rPr>
        <w:t xml:space="preserve">based on the </w:t>
      </w:r>
      <w:r>
        <w:rPr>
          <w:lang w:val="en-US"/>
        </w:rPr>
        <w:t xml:space="preserve">REs </w:t>
      </w:r>
      <w:r w:rsidR="00396EFF">
        <w:rPr>
          <w:lang w:val="en-US"/>
        </w:rPr>
        <w:t>in the DL subband</w:t>
      </w:r>
      <w:r w:rsidR="00975489" w:rsidRPr="0077730B">
        <w:rPr>
          <w:lang w:val="en-US"/>
        </w:rPr>
        <w:t>.</w:t>
      </w:r>
      <w:r w:rsidR="003218B1">
        <w:rPr>
          <w:lang w:val="en-US"/>
        </w:rPr>
        <w:t xml:space="preserve"> In our view, this understanding is captured in Option 2-2</w:t>
      </w:r>
      <w:r w:rsidR="00A90149">
        <w:rPr>
          <w:lang w:val="en-US"/>
        </w:rPr>
        <w:t xml:space="preserve">. </w:t>
      </w:r>
    </w:p>
    <w:p w14:paraId="6A74F17D" w14:textId="722EBFF9" w:rsidR="00621808" w:rsidRDefault="00B569DF">
      <w:pPr>
        <w:pStyle w:val="Proposal"/>
      </w:pPr>
      <w:bookmarkStart w:id="798" w:name="_Toc142394819"/>
      <w:bookmarkStart w:id="799" w:name="_Toc142394911"/>
      <w:bookmarkStart w:id="800" w:name="_Toc142397658"/>
      <w:bookmarkStart w:id="801" w:name="_Toc142397756"/>
      <w:bookmarkStart w:id="802" w:name="_Toc142397963"/>
      <w:bookmarkStart w:id="803" w:name="_Toc142399689"/>
      <w:bookmarkStart w:id="804" w:name="_Toc142400775"/>
      <w:bookmarkStart w:id="805" w:name="_Toc142400874"/>
      <w:bookmarkStart w:id="806" w:name="_Toc142400972"/>
      <w:bookmarkStart w:id="807" w:name="_Toc142401082"/>
      <w:bookmarkStart w:id="808" w:name="_Toc142401255"/>
      <w:bookmarkStart w:id="809" w:name="_Toc142466599"/>
      <w:bookmarkStart w:id="810" w:name="_Toc142481218"/>
      <w:bookmarkStart w:id="811" w:name="_Toc142482032"/>
      <w:r w:rsidRPr="00A1258F">
        <w:t>For CSI-RS resource set frequency domain resource allocation and CSI reporting configuration across non-contiguous DL subband</w:t>
      </w:r>
      <w:r w:rsidR="00291481">
        <w:t xml:space="preserve">, </w:t>
      </w:r>
      <w:r w:rsidR="00CC26FB" w:rsidRPr="00A1258F">
        <w:t xml:space="preserve">CSI-RS resources are configured over the entire bandwidth, </w:t>
      </w:r>
      <w:r w:rsidR="007C4BE4">
        <w:t xml:space="preserve">with </w:t>
      </w:r>
      <w:r w:rsidR="007C4BE4" w:rsidRPr="007C4BE4">
        <w:t>non-contiguous CSI-RS resource derived by excluding frequency resources outside DL subband (s)</w:t>
      </w:r>
      <w:r w:rsidR="00DE6CA5">
        <w:t>.</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65CA5E7" w14:textId="00FC989B" w:rsidR="006E4FD7" w:rsidRDefault="00D42C9D" w:rsidP="00D42C9D">
      <w:pPr>
        <w:spacing w:after="120"/>
        <w:jc w:val="both"/>
        <w:rPr>
          <w:lang w:val="en-US"/>
        </w:rPr>
      </w:pPr>
      <w:r w:rsidRPr="00A37E09">
        <w:rPr>
          <w:lang w:val="en-US"/>
        </w:rPr>
        <w:t>Additionally</w:t>
      </w:r>
      <w:r w:rsidR="00E66085">
        <w:rPr>
          <w:lang w:val="en-US"/>
        </w:rPr>
        <w:t xml:space="preserve">, in the last RAN1 meeting </w:t>
      </w:r>
      <w:r w:rsidR="00721EB8">
        <w:rPr>
          <w:lang w:val="en-US"/>
        </w:rPr>
        <w:t xml:space="preserve">different options were discussed </w:t>
      </w:r>
      <w:r w:rsidR="005764CD">
        <w:rPr>
          <w:lang w:val="en-US"/>
        </w:rPr>
        <w:t xml:space="preserve">regarding the CSI report. </w:t>
      </w:r>
      <w:r w:rsidR="00E17BED">
        <w:rPr>
          <w:lang w:val="en-US"/>
        </w:rPr>
        <w:t xml:space="preserve">These options depend on the agreement on how the CSI-RS resources are configured. In our view, </w:t>
      </w:r>
      <w:r w:rsidR="006C6545">
        <w:rPr>
          <w:lang w:val="en-US"/>
        </w:rPr>
        <w:t xml:space="preserve">if it is agreed that the CSI-RS </w:t>
      </w:r>
      <w:r w:rsidR="006E4FD7">
        <w:rPr>
          <w:lang w:val="en-US"/>
        </w:rPr>
        <w:t>resources can be configured across non-contiguous DL subbands, and derived by excluding frequency resources outside DL subbands</w:t>
      </w:r>
      <w:r w:rsidR="00276431">
        <w:rPr>
          <w:lang w:val="en-US"/>
        </w:rPr>
        <w:t xml:space="preserve">, </w:t>
      </w:r>
      <w:r w:rsidR="008B75EC">
        <w:rPr>
          <w:lang w:val="en-US"/>
        </w:rPr>
        <w:t xml:space="preserve">it should be possible to agree </w:t>
      </w:r>
      <w:r w:rsidR="00C44DB3">
        <w:rPr>
          <w:lang w:val="en-US"/>
        </w:rPr>
        <w:t xml:space="preserve">that the </w:t>
      </w:r>
      <w:r w:rsidR="008F5A0A">
        <w:rPr>
          <w:lang w:val="en-US"/>
        </w:rPr>
        <w:t xml:space="preserve">periodic/ semi-persistent CSI-RS can </w:t>
      </w:r>
      <w:r w:rsidR="00CA3564">
        <w:rPr>
          <w:lang w:val="en-US"/>
        </w:rPr>
        <w:t xml:space="preserve">be configured </w:t>
      </w:r>
      <w:r w:rsidR="00E35DA0">
        <w:rPr>
          <w:lang w:val="en-US"/>
        </w:rPr>
        <w:t>in such way that CSI-RS instances can occur in both SBFD and non-SBFD symbols.</w:t>
      </w:r>
    </w:p>
    <w:p w14:paraId="55D21083" w14:textId="1BD0871E" w:rsidR="00E17BED" w:rsidRDefault="00CB7E16" w:rsidP="00D42C9D">
      <w:pPr>
        <w:spacing w:after="120"/>
        <w:jc w:val="both"/>
        <w:rPr>
          <w:lang w:val="en-US"/>
        </w:rPr>
      </w:pPr>
      <w:r>
        <w:rPr>
          <w:lang w:val="en-US"/>
        </w:rPr>
        <w:t>H</w:t>
      </w:r>
      <w:r w:rsidR="00D426F9">
        <w:rPr>
          <w:lang w:val="en-US"/>
        </w:rPr>
        <w:t>owever, we note that the interference conditions are different in both types of symbols, since SBFD symbols are subject to UE-to-UE CLI</w:t>
      </w:r>
      <w:r w:rsidR="00E33078">
        <w:rPr>
          <w:lang w:val="en-US"/>
        </w:rPr>
        <w:t xml:space="preserve">. </w:t>
      </w:r>
      <w:r w:rsidR="00A4435F">
        <w:rPr>
          <w:lang w:val="en-US"/>
        </w:rPr>
        <w:t xml:space="preserve">Therefore, </w:t>
      </w:r>
      <w:r w:rsidR="00127E23">
        <w:rPr>
          <w:lang w:val="en-US"/>
        </w:rPr>
        <w:t>in our view, the UE should not average CSI measurements across SBFD and n</w:t>
      </w:r>
      <w:r w:rsidR="00653B4B">
        <w:rPr>
          <w:lang w:val="en-US"/>
        </w:rPr>
        <w:t xml:space="preserve">on-SBFD symbols. </w:t>
      </w:r>
      <w:r w:rsidR="00882781">
        <w:rPr>
          <w:lang w:val="en-US"/>
        </w:rPr>
        <w:t xml:space="preserve">Our preferred option is that </w:t>
      </w:r>
      <w:r w:rsidR="00F72C8C">
        <w:rPr>
          <w:lang w:val="en-US"/>
        </w:rPr>
        <w:t xml:space="preserve">the </w:t>
      </w:r>
      <w:r w:rsidR="00E353C6">
        <w:rPr>
          <w:lang w:val="en-US"/>
        </w:rPr>
        <w:t>UE is configured with two CSI-</w:t>
      </w:r>
      <w:proofErr w:type="spellStart"/>
      <w:r w:rsidR="00E353C6">
        <w:rPr>
          <w:lang w:val="en-US"/>
        </w:rPr>
        <w:t>ReportConfig</w:t>
      </w:r>
      <w:proofErr w:type="spellEnd"/>
      <w:r w:rsidR="008069CF">
        <w:rPr>
          <w:lang w:val="en-US"/>
        </w:rPr>
        <w:t xml:space="preserve">, </w:t>
      </w:r>
      <w:r w:rsidR="00CB4AF9">
        <w:rPr>
          <w:lang w:val="en-US"/>
        </w:rPr>
        <w:t>both associated with the same CSI-RS</w:t>
      </w:r>
      <w:r w:rsidR="00CE7A04">
        <w:rPr>
          <w:lang w:val="en-US"/>
        </w:rPr>
        <w:t xml:space="preserve">, but one </w:t>
      </w:r>
      <w:r w:rsidR="00051DC6">
        <w:rPr>
          <w:lang w:val="en-US"/>
        </w:rPr>
        <w:t xml:space="preserve">report is derived </w:t>
      </w:r>
      <w:r w:rsidR="00875439">
        <w:rPr>
          <w:lang w:val="en-US"/>
        </w:rPr>
        <w:t xml:space="preserve">based on CSI-RS instances in SBFD symbols, and the other based on CSI-RS instances in DL symbols. This Option is covered by Option </w:t>
      </w:r>
      <w:r w:rsidR="00DD746C">
        <w:rPr>
          <w:lang w:val="en-US"/>
        </w:rPr>
        <w:t>1-2.</w:t>
      </w:r>
    </w:p>
    <w:p w14:paraId="697AE1AD" w14:textId="134BDE69" w:rsidR="00006416" w:rsidRPr="00976DFF" w:rsidRDefault="008B1D6B" w:rsidP="00A37E09">
      <w:pPr>
        <w:pStyle w:val="Proposal"/>
      </w:pPr>
      <w:bookmarkStart w:id="812" w:name="_Toc142394820"/>
      <w:bookmarkStart w:id="813" w:name="_Toc142394912"/>
      <w:bookmarkStart w:id="814" w:name="_Toc142397659"/>
      <w:bookmarkStart w:id="815" w:name="_Toc142397757"/>
      <w:bookmarkStart w:id="816" w:name="_Toc142397964"/>
      <w:bookmarkStart w:id="817" w:name="_Toc142399690"/>
      <w:bookmarkStart w:id="818" w:name="_Toc142400776"/>
      <w:bookmarkStart w:id="819" w:name="_Toc142400875"/>
      <w:bookmarkStart w:id="820" w:name="_Toc142400973"/>
      <w:bookmarkStart w:id="821" w:name="_Toc142401083"/>
      <w:bookmarkStart w:id="822" w:name="_Toc142401256"/>
      <w:bookmarkStart w:id="823" w:name="_Toc142466600"/>
      <w:bookmarkStart w:id="824" w:name="_Toc142481219"/>
      <w:bookmarkStart w:id="825" w:name="_Toc142482033"/>
      <w:r w:rsidRPr="00566FFB">
        <w:t>For CSI report associated with periodic/semi-persistent CSI-RS in case the periodicity is such that CSI-RS instances occur in both SBFD and non-SBFD symbols</w:t>
      </w:r>
      <w:r w:rsidR="00566FFB" w:rsidRPr="00566FFB">
        <w:t>, two CSI-</w:t>
      </w:r>
      <w:proofErr w:type="spellStart"/>
      <w:r w:rsidR="00566FFB" w:rsidRPr="00566FFB">
        <w:t>ReportConfig</w:t>
      </w:r>
      <w:proofErr w:type="spellEnd"/>
      <w:r w:rsidR="00566FFB" w:rsidRPr="00566FFB">
        <w:t xml:space="preserve"> are configured. </w:t>
      </w:r>
      <w:r w:rsidR="00566FFB" w:rsidRPr="00A37E09">
        <w:rPr>
          <w:rFonts w:ascii="Times" w:eastAsia="Times New Roman" w:hAnsi="Times" w:cs="Times"/>
        </w:rPr>
        <w:t xml:space="preserve">Both </w:t>
      </w:r>
      <w:r w:rsidR="00566FFB" w:rsidRPr="00A37E09">
        <w:rPr>
          <w:rFonts w:ascii="Times" w:eastAsia="Times New Roman" w:hAnsi="Times" w:cs="Times"/>
          <w:i/>
        </w:rPr>
        <w:t>CSI-</w:t>
      </w:r>
      <w:proofErr w:type="spellStart"/>
      <w:r w:rsidR="00566FFB" w:rsidRPr="00A37E09">
        <w:rPr>
          <w:rFonts w:ascii="Times" w:eastAsia="Times New Roman" w:hAnsi="Times" w:cs="Times"/>
          <w:i/>
        </w:rPr>
        <w:t>ReportConfig</w:t>
      </w:r>
      <w:r w:rsidR="00566FFB" w:rsidRPr="00A37E09">
        <w:rPr>
          <w:rFonts w:ascii="Times" w:eastAsia="Times New Roman" w:hAnsi="Times" w:cs="Times"/>
        </w:rPr>
        <w:t>s</w:t>
      </w:r>
      <w:proofErr w:type="spellEnd"/>
      <w:r w:rsidR="00566FFB" w:rsidRPr="00A37E09">
        <w:rPr>
          <w:rFonts w:ascii="Times" w:eastAsia="Times New Roman" w:hAnsi="Times" w:cs="Times"/>
        </w:rPr>
        <w:t xml:space="preserve"> are associated with the same CSI-RS. The CSI report associated with one </w:t>
      </w:r>
      <w:r w:rsidR="00566FFB" w:rsidRPr="00A37E09">
        <w:rPr>
          <w:rFonts w:ascii="Times" w:eastAsia="Times New Roman" w:hAnsi="Times" w:cs="Times"/>
          <w:i/>
        </w:rPr>
        <w:t>CSI-</w:t>
      </w:r>
      <w:proofErr w:type="spellStart"/>
      <w:r w:rsidR="00566FFB" w:rsidRPr="00A37E09">
        <w:rPr>
          <w:rFonts w:ascii="Times" w:eastAsia="Times New Roman" w:hAnsi="Times" w:cs="Times"/>
          <w:i/>
        </w:rPr>
        <w:t>ReportConfig</w:t>
      </w:r>
      <w:proofErr w:type="spellEnd"/>
      <w:r w:rsidR="00566FFB" w:rsidRPr="00A37E09">
        <w:rPr>
          <w:rFonts w:ascii="Times" w:eastAsia="Times New Roman" w:hAnsi="Times" w:cs="Times"/>
        </w:rPr>
        <w:t xml:space="preserve"> is derived based on CSI-RS instances in SBFD symbols only. The CSI report associated with </w:t>
      </w:r>
      <w:r w:rsidR="00566FFB" w:rsidRPr="00976DFF">
        <w:rPr>
          <w:rFonts w:ascii="Times" w:eastAsia="Times New Roman" w:hAnsi="Times" w:cs="Times"/>
        </w:rPr>
        <w:t xml:space="preserve">the second </w:t>
      </w:r>
      <w:r w:rsidR="00566FFB" w:rsidRPr="00976DFF">
        <w:rPr>
          <w:rFonts w:ascii="Times" w:eastAsia="Times New Roman" w:hAnsi="Times" w:cs="Times"/>
          <w:i/>
        </w:rPr>
        <w:t>CSI-</w:t>
      </w:r>
      <w:proofErr w:type="spellStart"/>
      <w:r w:rsidR="00566FFB" w:rsidRPr="00976DFF">
        <w:rPr>
          <w:rFonts w:ascii="Times" w:eastAsia="Times New Roman" w:hAnsi="Times" w:cs="Times"/>
          <w:i/>
        </w:rPr>
        <w:t>ReportConfig</w:t>
      </w:r>
      <w:proofErr w:type="spellEnd"/>
      <w:r w:rsidR="00566FFB" w:rsidRPr="00976DFF">
        <w:rPr>
          <w:rFonts w:ascii="Times" w:eastAsia="Times New Roman" w:hAnsi="Times" w:cs="Times"/>
        </w:rPr>
        <w:t xml:space="preserve"> is derived based on CSI-RS instances in non-SBFD symbols only.</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7DA8655" w14:textId="4A4D6B0E" w:rsidR="00422D8C" w:rsidRPr="00802678" w:rsidRDefault="004930FA" w:rsidP="003C7411">
      <w:pPr>
        <w:spacing w:after="120"/>
        <w:jc w:val="both"/>
      </w:pPr>
      <w:r w:rsidRPr="00976DFF">
        <w:t xml:space="preserve">Additionally, </w:t>
      </w:r>
      <w:r w:rsidR="005A00FD" w:rsidRPr="00976DFF">
        <w:t xml:space="preserve">as the interference for PDSCH may include </w:t>
      </w:r>
      <w:r w:rsidR="00F360A9" w:rsidRPr="00976DFF">
        <w:t xml:space="preserve">UE-to- UE </w:t>
      </w:r>
      <w:r w:rsidR="005A00FD" w:rsidRPr="00976DFF">
        <w:t xml:space="preserve">CLI from aggressor UE, </w:t>
      </w:r>
      <w:r w:rsidR="00A96488" w:rsidRPr="00976DFF">
        <w:t xml:space="preserve">it </w:t>
      </w:r>
      <w:r w:rsidR="006B1A25" w:rsidRPr="00976DFF">
        <w:t>will be</w:t>
      </w:r>
      <w:r w:rsidR="00A96488" w:rsidRPr="00976DFF">
        <w:t xml:space="preserve"> interesting how to </w:t>
      </w:r>
      <w:r w:rsidR="003719B6" w:rsidRPr="00976DFF">
        <w:t>include</w:t>
      </w:r>
      <w:r w:rsidR="00A96488" w:rsidRPr="00976DFF">
        <w:t xml:space="preserve"> th</w:t>
      </w:r>
      <w:r w:rsidR="003719B6" w:rsidRPr="00976DFF">
        <w:t xml:space="preserve">is </w:t>
      </w:r>
      <w:r w:rsidR="00F360A9" w:rsidRPr="00976DFF">
        <w:t>UE-to- UE CLI</w:t>
      </w:r>
      <w:r w:rsidR="00A96488" w:rsidRPr="00976DFF">
        <w:t xml:space="preserve"> </w:t>
      </w:r>
      <w:r w:rsidR="00BB1ECB" w:rsidRPr="00976DFF">
        <w:t>from exact aggressor UE</w:t>
      </w:r>
      <w:r w:rsidR="00A96488" w:rsidRPr="00976DFF">
        <w:t xml:space="preserve"> </w:t>
      </w:r>
      <w:r w:rsidR="003719B6" w:rsidRPr="00976DFF">
        <w:t>in</w:t>
      </w:r>
      <w:r w:rsidR="00A96488" w:rsidRPr="00976DFF">
        <w:t xml:space="preserve"> the interference </w:t>
      </w:r>
      <w:r w:rsidR="003719B6" w:rsidRPr="00976DFF">
        <w:t xml:space="preserve">measurement </w:t>
      </w:r>
      <w:r w:rsidR="00A96488" w:rsidRPr="00976DFF">
        <w:t xml:space="preserve">for CSI process </w:t>
      </w:r>
      <w:r w:rsidR="003719B6" w:rsidRPr="00976DFF">
        <w:t>in SBFD cas</w:t>
      </w:r>
      <w:r w:rsidR="003D207F" w:rsidRPr="00976DFF">
        <w:t>es</w:t>
      </w:r>
      <w:r w:rsidR="003719B6" w:rsidRPr="00976DFF">
        <w:t>.</w:t>
      </w:r>
    </w:p>
    <w:p w14:paraId="6D40F296" w14:textId="3BE25163" w:rsidR="00621808" w:rsidRDefault="00713F82" w:rsidP="005D3542">
      <w:pPr>
        <w:pStyle w:val="Heading4"/>
        <w:jc w:val="both"/>
      </w:pPr>
      <w:bookmarkStart w:id="826" w:name="_Ref118205577"/>
      <w:r>
        <w:t xml:space="preserve">Transmissions across </w:t>
      </w:r>
      <w:r w:rsidR="009C025D">
        <w:t xml:space="preserve">SBFD and non-SBFD symbols </w:t>
      </w:r>
      <w:bookmarkEnd w:id="826"/>
    </w:p>
    <w:p w14:paraId="7B84E225" w14:textId="4AC5528A" w:rsidR="007B2810" w:rsidRDefault="009E2E76" w:rsidP="00976DFF">
      <w:pPr>
        <w:jc w:val="both"/>
      </w:pPr>
      <w:r>
        <w:t>In</w:t>
      </w:r>
      <w:r w:rsidR="00D25B86">
        <w:t xml:space="preserve"> this section we discuss</w:t>
      </w:r>
      <w:r w:rsidR="001C4D43">
        <w:t xml:space="preserve">, among others, </w:t>
      </w:r>
      <w:r w:rsidR="000E00D2">
        <w:t xml:space="preserve">whether a slot can consist of both SBFD and non-SBFD symbols, </w:t>
      </w:r>
      <w:r w:rsidR="001C4D43">
        <w:t xml:space="preserve">whether the transmissions and receptions can </w:t>
      </w:r>
      <w:r w:rsidR="00267E80">
        <w:t>be configured across symbols/ slots of different types</w:t>
      </w:r>
      <w:r w:rsidR="00C7292E">
        <w:t xml:space="preserve">, and how to configure </w:t>
      </w:r>
      <w:r w:rsidR="000B057E">
        <w:t>these resources</w:t>
      </w:r>
      <w:r w:rsidR="00267E80">
        <w:t>.</w:t>
      </w:r>
    </w:p>
    <w:p w14:paraId="5B42A256" w14:textId="77777777" w:rsidR="007B2810" w:rsidRDefault="007B2810" w:rsidP="002E03A3">
      <w:pPr>
        <w:pStyle w:val="Heading5"/>
        <w:rPr>
          <w:lang w:val="en-US"/>
        </w:rPr>
      </w:pPr>
      <w:r>
        <w:rPr>
          <w:lang w:val="en-US"/>
        </w:rPr>
        <w:t>Whether a slot can consist of both SBFD and non-SBFD symbols</w:t>
      </w:r>
    </w:p>
    <w:p w14:paraId="265AAFCF" w14:textId="0B2EFE92" w:rsidR="007B2810" w:rsidRPr="007E2DD8" w:rsidRDefault="007B2810" w:rsidP="007B2810">
      <w:pPr>
        <w:rPr>
          <w:lang w:val="en-US"/>
        </w:rPr>
      </w:pPr>
      <w:r>
        <w:rPr>
          <w:lang w:val="en-US"/>
        </w:rPr>
        <w:t xml:space="preserve">In RAN1#112, it was </w:t>
      </w:r>
      <w:r w:rsidR="0071608E">
        <w:rPr>
          <w:lang w:val="en-US"/>
        </w:rPr>
        <w:t>agreed to study</w:t>
      </w:r>
      <w:r>
        <w:rPr>
          <w:lang w:val="en-US"/>
        </w:rPr>
        <w:t xml:space="preserve"> </w:t>
      </w:r>
      <w:r w:rsidR="003E0F7C">
        <w:rPr>
          <w:lang w:val="en-US"/>
        </w:rPr>
        <w:t>whether</w:t>
      </w:r>
      <w:r>
        <w:rPr>
          <w:lang w:val="en-US"/>
        </w:rPr>
        <w:t xml:space="preserve"> a slot can consist of both SBFD and non-SBFD symbols. </w:t>
      </w:r>
      <w:r w:rsidR="0071608E">
        <w:rPr>
          <w:lang w:val="en-US"/>
        </w:rPr>
        <w:t>In RAN1 #112bis-e</w:t>
      </w:r>
      <w:r w:rsidR="00D8275B">
        <w:rPr>
          <w:lang w:val="en-US"/>
        </w:rPr>
        <w:t xml:space="preserve"> and RAN1 #113,</w:t>
      </w:r>
      <w:r w:rsidR="0071608E">
        <w:rPr>
          <w:lang w:val="en-US"/>
        </w:rPr>
        <w:t xml:space="preserve"> the following has been concluded:</w:t>
      </w:r>
    </w:p>
    <w:tbl>
      <w:tblPr>
        <w:tblStyle w:val="TableGrid"/>
        <w:tblW w:w="0" w:type="auto"/>
        <w:tblInd w:w="360" w:type="dxa"/>
        <w:tblLook w:val="04A0" w:firstRow="1" w:lastRow="0" w:firstColumn="1" w:lastColumn="0" w:noHBand="0" w:noVBand="1"/>
      </w:tblPr>
      <w:tblGrid>
        <w:gridCol w:w="9269"/>
      </w:tblGrid>
      <w:tr w:rsidR="007B2810" w14:paraId="554C1AC3" w14:textId="77777777">
        <w:tc>
          <w:tcPr>
            <w:tcW w:w="9629" w:type="dxa"/>
          </w:tcPr>
          <w:p w14:paraId="1657CA40" w14:textId="59EE752A" w:rsidR="00D8275B" w:rsidRDefault="00D8275B" w:rsidP="0071608E">
            <w:pPr>
              <w:spacing w:after="0"/>
              <w:ind w:left="540"/>
              <w:rPr>
                <w:rFonts w:ascii="Times" w:eastAsia="Times New Roman" w:hAnsi="Times" w:cs="Times"/>
                <w:b/>
              </w:rPr>
            </w:pPr>
            <w:r>
              <w:rPr>
                <w:rFonts w:ascii="Times" w:eastAsia="Times New Roman" w:hAnsi="Times" w:cs="Times"/>
                <w:b/>
              </w:rPr>
              <w:t>RAN1 #112bis-e</w:t>
            </w:r>
          </w:p>
          <w:p w14:paraId="5DDE325B" w14:textId="488AF7F8" w:rsidR="0071608E" w:rsidRPr="00362B37" w:rsidRDefault="0071608E" w:rsidP="0071608E">
            <w:pPr>
              <w:spacing w:after="0"/>
              <w:ind w:left="540"/>
              <w:rPr>
                <w:rFonts w:ascii="Times" w:eastAsia="Times New Roman" w:hAnsi="Times" w:cs="Times"/>
              </w:rPr>
            </w:pPr>
            <w:r w:rsidRPr="00362B37">
              <w:rPr>
                <w:rFonts w:ascii="Times" w:eastAsia="Times New Roman" w:hAnsi="Times" w:cs="Times"/>
                <w:b/>
              </w:rPr>
              <w:t>Conclusion</w:t>
            </w:r>
          </w:p>
          <w:p w14:paraId="303EAAF2" w14:textId="77777777" w:rsidR="0071608E" w:rsidRPr="00362B37" w:rsidRDefault="0071608E" w:rsidP="0071608E">
            <w:pPr>
              <w:spacing w:after="0"/>
              <w:ind w:left="540"/>
              <w:rPr>
                <w:rFonts w:ascii="Times" w:eastAsia="Times New Roman" w:hAnsi="Times" w:cs="Times"/>
                <w:lang w:val="en-US"/>
              </w:rPr>
            </w:pPr>
            <w:r w:rsidRPr="00362B37">
              <w:rPr>
                <w:rFonts w:ascii="Times" w:eastAsia="Times New Roman" w:hAnsi="Times" w:cs="Times"/>
                <w:lang w:val="en-US"/>
              </w:rPr>
              <w:t>The following RAN1 observation is made:</w:t>
            </w:r>
          </w:p>
          <w:p w14:paraId="6F30D03E" w14:textId="77777777" w:rsidR="0071608E" w:rsidRPr="00362B37" w:rsidRDefault="0071608E" w:rsidP="0071608E">
            <w:pPr>
              <w:spacing w:after="0"/>
              <w:ind w:left="540"/>
              <w:rPr>
                <w:rFonts w:ascii="Times" w:eastAsia="Times New Roman" w:hAnsi="Times" w:cs="Times"/>
              </w:rPr>
            </w:pPr>
            <w:r w:rsidRPr="00362B37">
              <w:rPr>
                <w:rFonts w:ascii="Times" w:eastAsia="Times New Roman" w:hAnsi="Times" w:cs="Times"/>
                <w:lang w:val="en-US"/>
              </w:rPr>
              <w:t>O</w:t>
            </w:r>
            <w:r w:rsidRPr="00362B37">
              <w:rPr>
                <w:rFonts w:ascii="Times" w:eastAsia="Times New Roman" w:hAnsi="Times" w:cs="Times"/>
              </w:rPr>
              <w:t>ne motivation for allowing that a slot can consist of both SBFD and non-SBFD symbols is for compatibility with symbol-level TDD UL/DL configuration.</w:t>
            </w:r>
          </w:p>
          <w:p w14:paraId="3EB1BB8E" w14:textId="77777777" w:rsidR="0071608E" w:rsidRPr="00362B37" w:rsidRDefault="0071608E" w:rsidP="0071608E">
            <w:pPr>
              <w:spacing w:after="0"/>
              <w:ind w:left="540"/>
              <w:rPr>
                <w:rFonts w:ascii="Times" w:eastAsia="Times New Roman" w:hAnsi="Times" w:cs="Times"/>
              </w:rPr>
            </w:pPr>
            <w:r w:rsidRPr="00362B37">
              <w:rPr>
                <w:rFonts w:ascii="Times" w:eastAsia="Times New Roman" w:hAnsi="Times" w:cs="Times"/>
              </w:rPr>
              <w:t xml:space="preserve">Frequent switching between SBFD and non-SBFD symbols may increase the implementation complexity and interruptions of transmissions/receptions during transition. </w:t>
            </w:r>
          </w:p>
          <w:p w14:paraId="4375191E" w14:textId="77777777" w:rsidR="0071608E" w:rsidRPr="00362B37" w:rsidRDefault="0071608E" w:rsidP="0071608E">
            <w:pPr>
              <w:numPr>
                <w:ilvl w:val="0"/>
                <w:numId w:val="99"/>
              </w:numPr>
              <w:spacing w:after="0"/>
              <w:textAlignment w:val="center"/>
              <w:rPr>
                <w:rFonts w:ascii="Calibri" w:eastAsia="Times New Roman" w:hAnsi="Calibri" w:cs="Calibri"/>
              </w:rPr>
            </w:pPr>
            <w:r w:rsidRPr="00362B37">
              <w:rPr>
                <w:rFonts w:ascii="Times" w:eastAsia="Times New Roman" w:hAnsi="Times" w:cs="Times"/>
              </w:rPr>
              <w:t>Further study whether limitation(s) on the maximum number of switching points between SBFD and non-SBFD symbols within a slot, a TDD UL/DL pattern period, and/or semi-static SBFD configuration period (if different from TDD UL/DL pattern period) are needed</w:t>
            </w:r>
          </w:p>
          <w:p w14:paraId="7E516844" w14:textId="77777777" w:rsidR="0071608E" w:rsidRPr="00362B37" w:rsidRDefault="0071608E" w:rsidP="0071608E">
            <w:pPr>
              <w:numPr>
                <w:ilvl w:val="0"/>
                <w:numId w:val="99"/>
              </w:numPr>
              <w:spacing w:after="0"/>
              <w:textAlignment w:val="center"/>
              <w:rPr>
                <w:rFonts w:ascii="Calibri" w:eastAsia="Times New Roman" w:hAnsi="Calibri" w:cs="Calibri"/>
              </w:rPr>
            </w:pPr>
            <w:r w:rsidRPr="00362B37">
              <w:rPr>
                <w:rFonts w:ascii="Times" w:eastAsia="Times New Roman" w:hAnsi="Times" w:cs="Times"/>
              </w:rPr>
              <w:t>Further study scenarios a guard period between SBFD and non-SBFD symbols is required/not required and the length of the guard period if required</w:t>
            </w:r>
          </w:p>
          <w:p w14:paraId="1419E6C7" w14:textId="77777777" w:rsidR="0071608E" w:rsidRDefault="0071608E" w:rsidP="0071608E">
            <w:pPr>
              <w:spacing w:after="0"/>
              <w:ind w:left="540"/>
              <w:rPr>
                <w:rFonts w:ascii="Times" w:eastAsia="Times New Roman" w:hAnsi="Times" w:cs="Times"/>
              </w:rPr>
            </w:pPr>
            <w:r w:rsidRPr="00362B37">
              <w:rPr>
                <w:rFonts w:ascii="Times" w:eastAsia="Times New Roman" w:hAnsi="Times" w:cs="Times"/>
              </w:rPr>
              <w:t xml:space="preserve">Note: </w:t>
            </w:r>
            <w:proofErr w:type="gramStart"/>
            <w:r w:rsidRPr="00362B37">
              <w:rPr>
                <w:rFonts w:ascii="Times" w:eastAsia="Times New Roman" w:hAnsi="Times" w:cs="Times"/>
              </w:rPr>
              <w:t>Whether or not</w:t>
            </w:r>
            <w:proofErr w:type="gramEnd"/>
            <w:r w:rsidRPr="00362B37">
              <w:rPr>
                <w:rFonts w:ascii="Times" w:eastAsia="Times New Roman" w:hAnsi="Times" w:cs="Times"/>
              </w:rPr>
              <w:t xml:space="preserve"> a physical channel/signal occasion is mapped to both SBFD and non-SBFD symbols within a slot is a separate discussion.</w:t>
            </w:r>
          </w:p>
          <w:p w14:paraId="5E7BE9DF" w14:textId="77777777" w:rsidR="00D8275B" w:rsidRDefault="00D8275B" w:rsidP="0071608E">
            <w:pPr>
              <w:spacing w:after="0"/>
              <w:ind w:left="540"/>
              <w:rPr>
                <w:rFonts w:ascii="Times" w:eastAsia="Times New Roman" w:hAnsi="Times" w:cs="Times"/>
              </w:rPr>
            </w:pPr>
          </w:p>
          <w:p w14:paraId="1099C647" w14:textId="7708E260" w:rsidR="00D8275B" w:rsidRDefault="00D8275B" w:rsidP="0071608E">
            <w:pPr>
              <w:spacing w:after="0"/>
              <w:ind w:left="540"/>
              <w:rPr>
                <w:rFonts w:ascii="Times" w:eastAsia="Times New Roman" w:hAnsi="Times" w:cs="Times"/>
              </w:rPr>
            </w:pPr>
            <w:r>
              <w:rPr>
                <w:rFonts w:ascii="Times" w:eastAsia="Times New Roman" w:hAnsi="Times" w:cs="Times"/>
              </w:rPr>
              <w:t>RAN1 #113</w:t>
            </w:r>
          </w:p>
          <w:p w14:paraId="430CC974" w14:textId="77777777" w:rsidR="00D80D5E" w:rsidRPr="00D80D5E" w:rsidRDefault="00D80D5E" w:rsidP="00D80D5E">
            <w:pPr>
              <w:overflowPunct/>
              <w:autoSpaceDE/>
              <w:autoSpaceDN/>
              <w:adjustRightInd/>
              <w:spacing w:after="0"/>
              <w:ind w:left="540"/>
              <w:textAlignment w:val="auto"/>
              <w:rPr>
                <w:rFonts w:eastAsia="Times New Roman"/>
              </w:rPr>
            </w:pPr>
            <w:r w:rsidRPr="00D80D5E">
              <w:rPr>
                <w:rFonts w:eastAsia="Times New Roman"/>
                <w:u w:val="single"/>
              </w:rPr>
              <w:t>Conclusion</w:t>
            </w:r>
          </w:p>
          <w:p w14:paraId="5C9946AC" w14:textId="77777777" w:rsidR="00D80D5E" w:rsidRPr="00D80D5E" w:rsidRDefault="00D80D5E" w:rsidP="00D80D5E">
            <w:pPr>
              <w:overflowPunct/>
              <w:autoSpaceDE/>
              <w:autoSpaceDN/>
              <w:adjustRightInd/>
              <w:spacing w:after="0"/>
              <w:ind w:left="540"/>
              <w:textAlignment w:val="auto"/>
              <w:rPr>
                <w:rFonts w:eastAsia="Times New Roman"/>
              </w:rPr>
            </w:pPr>
            <w:r w:rsidRPr="00D80D5E">
              <w:rPr>
                <w:rFonts w:eastAsia="Times New Roman"/>
              </w:rPr>
              <w:t xml:space="preserve">At least for semi-static SBFD, </w:t>
            </w:r>
            <w:proofErr w:type="gramStart"/>
            <w:r w:rsidRPr="00D80D5E">
              <w:rPr>
                <w:rFonts w:eastAsia="Times New Roman"/>
              </w:rPr>
              <w:t>in order to</w:t>
            </w:r>
            <w:proofErr w:type="gramEnd"/>
            <w:r w:rsidRPr="00D80D5E">
              <w:rPr>
                <w:rFonts w:eastAsia="Times New Roman"/>
              </w:rPr>
              <w:t xml:space="preserve"> avoid frequent switching between SBFD and non-SBFD symbols, potential limitation on the maximum number of </w:t>
            </w:r>
            <w:r w:rsidRPr="00D80D5E">
              <w:rPr>
                <w:rFonts w:eastAsia="Times New Roman"/>
                <w:strike/>
              </w:rPr>
              <w:t>switching</w:t>
            </w:r>
            <w:r w:rsidRPr="00D80D5E">
              <w:rPr>
                <w:rFonts w:eastAsia="Times New Roman"/>
              </w:rPr>
              <w:t xml:space="preserve"> transition points between SBFD and non-SBFD symbols can be considered from SBFD subband configuration perspective. Maximum of two </w:t>
            </w:r>
            <w:r w:rsidRPr="00D80D5E">
              <w:rPr>
                <w:rFonts w:eastAsia="Times New Roman"/>
                <w:strike/>
              </w:rPr>
              <w:t>switching</w:t>
            </w:r>
            <w:r w:rsidRPr="00D80D5E">
              <w:rPr>
                <w:rFonts w:eastAsia="Times New Roman"/>
              </w:rPr>
              <w:t xml:space="preserve"> transition points including one </w:t>
            </w:r>
            <w:r w:rsidRPr="00D80D5E">
              <w:rPr>
                <w:rFonts w:eastAsia="Times New Roman"/>
                <w:strike/>
              </w:rPr>
              <w:t>switching</w:t>
            </w:r>
            <w:r w:rsidRPr="00D80D5E">
              <w:rPr>
                <w:rFonts w:eastAsia="Times New Roman"/>
              </w:rPr>
              <w:t xml:space="preserve"> transition point from non-SBFD symbols to SBFD symbols and one </w:t>
            </w:r>
            <w:r w:rsidRPr="00D80D5E">
              <w:rPr>
                <w:rFonts w:eastAsia="Times New Roman"/>
                <w:strike/>
              </w:rPr>
              <w:t>switching</w:t>
            </w:r>
            <w:r w:rsidRPr="00D80D5E">
              <w:rPr>
                <w:rFonts w:eastAsia="Times New Roman"/>
              </w:rPr>
              <w:t xml:space="preserve"> transition point from SBFD symbols to non-SBFD symbols within a TDD UL/DL pattern period can be considered as a starting point where the </w:t>
            </w:r>
            <w:r w:rsidRPr="00D80D5E">
              <w:rPr>
                <w:rFonts w:eastAsia="Times New Roman"/>
                <w:strike/>
              </w:rPr>
              <w:t>switching</w:t>
            </w:r>
            <w:r w:rsidRPr="00D80D5E">
              <w:rPr>
                <w:rFonts w:eastAsia="Times New Roman"/>
              </w:rPr>
              <w:t xml:space="preserve"> transition point can be aligned with slot boundary or within a slot.</w:t>
            </w:r>
          </w:p>
          <w:p w14:paraId="7F392506" w14:textId="77777777" w:rsidR="00D80D5E" w:rsidRPr="00D80D5E" w:rsidRDefault="00D80D5E" w:rsidP="00D80D5E">
            <w:pPr>
              <w:numPr>
                <w:ilvl w:val="0"/>
                <w:numId w:val="145"/>
              </w:numPr>
              <w:overflowPunct/>
              <w:autoSpaceDE/>
              <w:autoSpaceDN/>
              <w:adjustRightInd/>
              <w:spacing w:after="0"/>
              <w:textAlignment w:val="center"/>
              <w:rPr>
                <w:rFonts w:ascii="Calibri" w:eastAsia="Times New Roman" w:hAnsi="Calibri" w:cs="Calibri"/>
                <w:sz w:val="22"/>
                <w:szCs w:val="22"/>
              </w:rPr>
            </w:pPr>
            <w:r w:rsidRPr="00D80D5E">
              <w:rPr>
                <w:rFonts w:eastAsia="Times New Roman"/>
              </w:rPr>
              <w:t>(</w:t>
            </w:r>
            <w:r w:rsidRPr="00D80D5E">
              <w:rPr>
                <w:rFonts w:eastAsia="Times New Roman"/>
                <w:highlight w:val="green"/>
              </w:rPr>
              <w:t>Agreement</w:t>
            </w:r>
            <w:r w:rsidRPr="00D80D5E">
              <w:rPr>
                <w:rFonts w:eastAsia="Times New Roman"/>
              </w:rPr>
              <w:t>) The usage of ‘switching point’ in previous conclusions/agreements are revised to ‘transition point’</w:t>
            </w:r>
          </w:p>
          <w:p w14:paraId="4E4E50A3" w14:textId="77777777" w:rsidR="00D80D5E" w:rsidRPr="00D80D5E" w:rsidRDefault="00D80D5E" w:rsidP="00D80D5E">
            <w:pPr>
              <w:overflowPunct/>
              <w:autoSpaceDE/>
              <w:autoSpaceDN/>
              <w:adjustRightInd/>
              <w:spacing w:after="0"/>
              <w:ind w:left="540"/>
              <w:textAlignment w:val="auto"/>
              <w:rPr>
                <w:rFonts w:eastAsia="Times New Roman"/>
              </w:rPr>
            </w:pPr>
            <w:r w:rsidRPr="00D80D5E">
              <w:rPr>
                <w:rFonts w:eastAsia="Times New Roman"/>
              </w:rPr>
              <w:t>A guard period between SBFD and non-SBFD symbols may or may not be required at gNB and/or UE side depending on gNB/UE implementation and/or SBFD operation.</w:t>
            </w:r>
          </w:p>
          <w:p w14:paraId="0221896C" w14:textId="77777777" w:rsidR="00D8275B" w:rsidRPr="00362B37" w:rsidRDefault="00D8275B" w:rsidP="0071608E">
            <w:pPr>
              <w:spacing w:after="0"/>
              <w:ind w:left="540"/>
              <w:rPr>
                <w:rFonts w:ascii="Times" w:eastAsia="Times New Roman" w:hAnsi="Times" w:cs="Times"/>
              </w:rPr>
            </w:pPr>
          </w:p>
          <w:p w14:paraId="75F3FAA7" w14:textId="277C127E" w:rsidR="007B2810" w:rsidRPr="001C18DB" w:rsidRDefault="007B2810" w:rsidP="00A37E09">
            <w:pPr>
              <w:overflowPunct/>
              <w:autoSpaceDE/>
              <w:autoSpaceDN/>
              <w:adjustRightInd/>
              <w:spacing w:after="0"/>
              <w:textAlignment w:val="center"/>
              <w:rPr>
                <w:rFonts w:ascii="Calibri" w:eastAsia="Times New Roman" w:hAnsi="Calibri" w:cs="Calibri"/>
                <w:sz w:val="22"/>
                <w:szCs w:val="22"/>
              </w:rPr>
            </w:pPr>
          </w:p>
        </w:tc>
      </w:tr>
    </w:tbl>
    <w:p w14:paraId="20567505" w14:textId="0B30AB3D" w:rsidR="003D2648" w:rsidRDefault="003D2648" w:rsidP="003D2648">
      <w:pPr>
        <w:spacing w:after="120"/>
        <w:jc w:val="both"/>
        <w:rPr>
          <w:bCs/>
          <w:iCs/>
        </w:rPr>
      </w:pPr>
      <w:bookmarkStart w:id="827" w:name="_Toc142394821"/>
      <w:bookmarkStart w:id="828" w:name="_Toc142394913"/>
    </w:p>
    <w:p w14:paraId="5EBEB7DC" w14:textId="3AE939AD" w:rsidR="007B2810" w:rsidRDefault="007B2810" w:rsidP="005F69B8">
      <w:pPr>
        <w:spacing w:after="120"/>
        <w:jc w:val="both"/>
      </w:pPr>
      <w:r>
        <w:rPr>
          <w:bCs/>
          <w:iCs/>
        </w:rPr>
        <w:t xml:space="preserve">Today, NR TDD allows for three types of slots: DL, </w:t>
      </w:r>
      <w:proofErr w:type="gramStart"/>
      <w:r>
        <w:rPr>
          <w:bCs/>
          <w:iCs/>
        </w:rPr>
        <w:t>UL</w:t>
      </w:r>
      <w:proofErr w:type="gramEnd"/>
      <w:r>
        <w:rPr>
          <w:bCs/>
          <w:iCs/>
        </w:rPr>
        <w:t xml:space="preserve"> and special slots. Special slots </w:t>
      </w:r>
      <w:r w:rsidRPr="288E78CE">
        <w:rPr>
          <w:b/>
          <w:i/>
        </w:rPr>
        <w:t xml:space="preserve">can </w:t>
      </w:r>
      <w:r w:rsidR="00E175BC">
        <w:rPr>
          <w:b/>
          <w:i/>
        </w:rPr>
        <w:t>c</w:t>
      </w:r>
      <w:r w:rsidRPr="288E78CE">
        <w:rPr>
          <w:b/>
          <w:i/>
        </w:rPr>
        <w:t>onsist</w:t>
      </w:r>
      <w:r>
        <w:rPr>
          <w:b/>
          <w:i/>
        </w:rPr>
        <w:t xml:space="preserve"> of DL symbols, UL symbols and guard symbols, which are used to allow for the Rx-Tx switching at the UE.</w:t>
      </w:r>
      <w:bookmarkEnd w:id="827"/>
      <w:bookmarkEnd w:id="828"/>
      <w:r>
        <w:rPr>
          <w:b/>
          <w:i/>
        </w:rPr>
        <w:t xml:space="preserve"> </w:t>
      </w:r>
    </w:p>
    <w:p w14:paraId="55A06975" w14:textId="65348109" w:rsidR="007B2810" w:rsidRDefault="007B2810" w:rsidP="00692A9E">
      <w:pPr>
        <w:pStyle w:val="Observation"/>
        <w:ind w:left="0" w:firstLine="0"/>
      </w:pPr>
      <w:bookmarkStart w:id="829" w:name="_Toc142394822"/>
      <w:bookmarkStart w:id="830" w:name="_Toc142394914"/>
      <w:bookmarkStart w:id="831" w:name="_Toc142397660"/>
      <w:bookmarkStart w:id="832" w:name="_Toc142397758"/>
      <w:bookmarkStart w:id="833" w:name="_Toc142397965"/>
      <w:bookmarkStart w:id="834" w:name="_Toc142399691"/>
      <w:bookmarkStart w:id="835" w:name="_Toc142400777"/>
      <w:bookmarkStart w:id="836" w:name="_Toc142400876"/>
      <w:bookmarkStart w:id="837" w:name="_Toc142400974"/>
      <w:bookmarkStart w:id="838" w:name="_Toc142401084"/>
      <w:bookmarkStart w:id="839" w:name="_Toc142401257"/>
      <w:bookmarkStart w:id="840" w:name="_Toc142466601"/>
      <w:bookmarkStart w:id="841" w:name="_Toc142481220"/>
      <w:bookmarkStart w:id="842" w:name="_Toc142482034"/>
      <w:r>
        <w:t>NR specification allows for symbols of different types in special slots. A transition from DL to UL requires a slot to consist of different symbol types, at least in the special slots, if the configuration is kept compatible with legacy TDD DL/UL configuration.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932351A" w14:textId="1C5D0C02" w:rsidR="007B2810" w:rsidRDefault="007B2810" w:rsidP="007B2810">
      <w:pPr>
        <w:spacing w:after="120"/>
        <w:jc w:val="both"/>
        <w:rPr>
          <w:lang w:val="en-US"/>
        </w:rPr>
      </w:pPr>
      <w:proofErr w:type="gramStart"/>
      <w:r w:rsidRPr="0074783A">
        <w:t>In</w:t>
      </w:r>
      <w:r w:rsidRPr="00B3282B">
        <w:t xml:space="preserve"> </w:t>
      </w:r>
      <w:r>
        <w:rPr>
          <w:bCs/>
          <w:iCs/>
        </w:rPr>
        <w:t>order to</w:t>
      </w:r>
      <w:proofErr w:type="gramEnd"/>
      <w:r>
        <w:rPr>
          <w:bCs/>
          <w:iCs/>
        </w:rPr>
        <w:t xml:space="preserve"> be compatible with a </w:t>
      </w:r>
      <w:r w:rsidR="00CF4E1D">
        <w:rPr>
          <w:bCs/>
          <w:iCs/>
        </w:rPr>
        <w:t xml:space="preserve">symbol-level </w:t>
      </w:r>
      <w:r>
        <w:rPr>
          <w:bCs/>
          <w:iCs/>
        </w:rPr>
        <w:t>TDD DL/UL</w:t>
      </w:r>
      <w:r w:rsidR="005A61B6">
        <w:rPr>
          <w:bCs/>
          <w:iCs/>
        </w:rPr>
        <w:t xml:space="preserve"> </w:t>
      </w:r>
      <w:r>
        <w:rPr>
          <w:bCs/>
          <w:iCs/>
        </w:rPr>
        <w:t xml:space="preserve">configuration, there should be a possibility of allowing the same mechanism to be available for the transition from SBFD to UL-only slots. In this case, in special slots, there could be some symbols that are SBFD and others that are UL-only. </w:t>
      </w:r>
      <w:r w:rsidR="006541DF">
        <w:rPr>
          <w:bCs/>
          <w:iCs/>
        </w:rPr>
        <w:t>This backward compatibility is important given that DL/UL transmission</w:t>
      </w:r>
      <w:r w:rsidR="00041039">
        <w:rPr>
          <w:bCs/>
          <w:iCs/>
        </w:rPr>
        <w:t>s</w:t>
      </w:r>
      <w:r w:rsidR="006541DF">
        <w:rPr>
          <w:bCs/>
          <w:iCs/>
        </w:rPr>
        <w:t xml:space="preserve"> in legacy subbands</w:t>
      </w:r>
      <w:r w:rsidR="00041039">
        <w:rPr>
          <w:bCs/>
          <w:iCs/>
        </w:rPr>
        <w:t xml:space="preserve"> only</w:t>
      </w:r>
      <w:r w:rsidR="006541DF">
        <w:rPr>
          <w:bCs/>
          <w:iCs/>
        </w:rPr>
        <w:t xml:space="preserve"> (i.e., the subbands that</w:t>
      </w:r>
      <w:r w:rsidR="00041039">
        <w:rPr>
          <w:bCs/>
          <w:iCs/>
        </w:rPr>
        <w:t xml:space="preserve"> use legacy TDD pattern) should follow legacy behaviour.</w:t>
      </w:r>
      <w:r>
        <w:rPr>
          <w:bCs/>
          <w:iCs/>
        </w:rPr>
        <w:t xml:space="preserve"> </w:t>
      </w:r>
      <w:r w:rsidRPr="001C18DB">
        <w:rPr>
          <w:lang w:val="en-US"/>
        </w:rPr>
        <w:t xml:space="preserve">Another benefit of allowing symbols of different types in the same slot, is the support of DL only symbols, for example, for sending SSBs and CSI-RS. </w:t>
      </w:r>
      <w:r>
        <w:rPr>
          <w:lang w:val="en-US"/>
        </w:rPr>
        <w:t>As mentioned earlier, our preference is that SBFD is configured only in a subset of the DL symbols</w:t>
      </w:r>
      <w:r w:rsidR="00041039">
        <w:rPr>
          <w:lang w:val="en-US"/>
        </w:rPr>
        <w:t xml:space="preserve"> in a slot</w:t>
      </w:r>
      <w:r>
        <w:rPr>
          <w:lang w:val="en-US"/>
        </w:rPr>
        <w:t>, not all of them. In that case, it is important to support CSI-RS transmission over the entire channel bandwidth in DL-only symbols, even if the slot also contains SBFD slots later.</w:t>
      </w:r>
      <w:r w:rsidR="001E6A5D">
        <w:rPr>
          <w:lang w:val="en-US"/>
        </w:rPr>
        <w:t xml:space="preserve"> </w:t>
      </w:r>
      <w:r>
        <w:rPr>
          <w:lang w:val="en-US"/>
        </w:rPr>
        <w:t>In a mixed DL slot, the first part of the slot could accommodate PDCCH, for example. Allowing for more scheduling flexibility in the SBFD portion of the slot.</w:t>
      </w:r>
    </w:p>
    <w:p w14:paraId="162C1112" w14:textId="77777777" w:rsidR="007B2810" w:rsidRDefault="007B2810" w:rsidP="007B2810">
      <w:pPr>
        <w:pStyle w:val="Proposal"/>
      </w:pPr>
      <w:bookmarkStart w:id="843" w:name="_Toc142394823"/>
      <w:bookmarkStart w:id="844" w:name="_Toc142394915"/>
      <w:bookmarkStart w:id="845" w:name="_Toc142397661"/>
      <w:bookmarkStart w:id="846" w:name="_Toc142397759"/>
      <w:bookmarkStart w:id="847" w:name="_Toc142397966"/>
      <w:bookmarkStart w:id="848" w:name="_Toc142399692"/>
      <w:bookmarkStart w:id="849" w:name="_Toc142400778"/>
      <w:bookmarkStart w:id="850" w:name="_Toc142400877"/>
      <w:bookmarkStart w:id="851" w:name="_Toc142400975"/>
      <w:bookmarkStart w:id="852" w:name="_Toc142401085"/>
      <w:bookmarkStart w:id="853" w:name="_Toc142401258"/>
      <w:bookmarkStart w:id="854" w:name="_Toc142466602"/>
      <w:bookmarkStart w:id="855" w:name="_Toc142481221"/>
      <w:bookmarkStart w:id="856" w:name="_Toc142482035"/>
      <w:r>
        <w:t>A slot can consist of both SBFD and non-SBFD symbols.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8649D6A" w14:textId="78DBE6A3" w:rsidR="00D45F76" w:rsidRDefault="00D45F76" w:rsidP="005047DA">
      <w:pPr>
        <w:pStyle w:val="CommentText"/>
        <w:jc w:val="both"/>
      </w:pPr>
    </w:p>
    <w:p w14:paraId="2F861EC3" w14:textId="280F267C" w:rsidR="005C4C4D" w:rsidRDefault="00BA48FE" w:rsidP="00692A9E">
      <w:pPr>
        <w:pStyle w:val="Heading5"/>
        <w:rPr>
          <w:lang w:val="en-US"/>
        </w:rPr>
      </w:pPr>
      <w:r>
        <w:rPr>
          <w:lang w:val="en-US"/>
        </w:rPr>
        <w:t>W</w:t>
      </w:r>
      <w:r w:rsidRPr="00BA48FE">
        <w:rPr>
          <w:lang w:val="en-US"/>
        </w:rPr>
        <w:t>hether the transmission/reception occasion of a physical channel/signal can be mapped to SBFD and non-SBFD symbols within a slot for a UE</w:t>
      </w:r>
    </w:p>
    <w:p w14:paraId="1B814056" w14:textId="051136DF" w:rsidR="00BA48FE" w:rsidRPr="00BA48FE" w:rsidRDefault="00901AF7" w:rsidP="00692A9E">
      <w:pPr>
        <w:rPr>
          <w:lang w:val="en-US"/>
        </w:rPr>
      </w:pPr>
      <w:r>
        <w:rPr>
          <w:lang w:val="en-US"/>
        </w:rPr>
        <w:t>In RAN1#112bis, it has been agreed to study whether the transmission / reception occasion of a physical channel can be mapped to SBFD and non-SBFD symbols within a slot for a UE:</w:t>
      </w:r>
    </w:p>
    <w:tbl>
      <w:tblPr>
        <w:tblStyle w:val="TableGrid"/>
        <w:tblW w:w="0" w:type="auto"/>
        <w:tblLook w:val="04A0" w:firstRow="1" w:lastRow="0" w:firstColumn="1" w:lastColumn="0" w:noHBand="0" w:noVBand="1"/>
      </w:tblPr>
      <w:tblGrid>
        <w:gridCol w:w="9629"/>
      </w:tblGrid>
      <w:tr w:rsidR="00103D9C" w14:paraId="47E0D8F0" w14:textId="77777777" w:rsidTr="00103D9C">
        <w:tc>
          <w:tcPr>
            <w:tcW w:w="9629" w:type="dxa"/>
          </w:tcPr>
          <w:p w14:paraId="3B64EBDE" w14:textId="77777777" w:rsidR="00103D9C" w:rsidRPr="00362B37" w:rsidRDefault="00103D9C" w:rsidP="00103D9C">
            <w:pPr>
              <w:spacing w:after="0"/>
              <w:ind w:left="540"/>
              <w:rPr>
                <w:rFonts w:ascii="Times" w:eastAsia="Times New Roman" w:hAnsi="Times" w:cs="Times"/>
                <w:lang w:val="en-US"/>
              </w:rPr>
            </w:pPr>
            <w:r w:rsidRPr="00362B37">
              <w:rPr>
                <w:rFonts w:ascii="Times" w:eastAsia="Times New Roman" w:hAnsi="Times" w:cs="Times"/>
                <w:b/>
                <w:highlight w:val="green"/>
                <w:lang w:val="en-US"/>
              </w:rPr>
              <w:t>Agreement</w:t>
            </w:r>
          </w:p>
          <w:p w14:paraId="29B96D88" w14:textId="77777777" w:rsidR="00103D9C" w:rsidRPr="00362B37" w:rsidRDefault="00103D9C" w:rsidP="00103D9C">
            <w:pPr>
              <w:spacing w:after="0"/>
              <w:ind w:left="540"/>
              <w:rPr>
                <w:rFonts w:ascii="Times" w:eastAsia="Times New Roman" w:hAnsi="Times" w:cs="Times"/>
              </w:rPr>
            </w:pPr>
            <w:r w:rsidRPr="00362B37">
              <w:rPr>
                <w:rFonts w:ascii="Times" w:eastAsia="Times New Roman" w:hAnsi="Times" w:cs="Times"/>
              </w:rPr>
              <w:t xml:space="preserve">Study </w:t>
            </w:r>
            <w:bookmarkStart w:id="857" w:name="_Hlk134446963"/>
            <w:r w:rsidRPr="00362B37">
              <w:rPr>
                <w:rFonts w:ascii="Times" w:eastAsia="Times New Roman" w:hAnsi="Times" w:cs="Times"/>
              </w:rPr>
              <w:t>whether the transmission/reception occasion of a physical channel/signal can be mapped to SBFD and non-SBFD symbols within a slot for a UE</w:t>
            </w:r>
            <w:bookmarkEnd w:id="857"/>
            <w:r w:rsidRPr="00362B37">
              <w:rPr>
                <w:rFonts w:ascii="Times" w:eastAsia="Times New Roman" w:hAnsi="Times" w:cs="Times"/>
              </w:rPr>
              <w:t>, and whether a UE can transmit/receive in the occasion mapped to SBFD symbols and non-SBFD symbols including:</w:t>
            </w:r>
          </w:p>
          <w:p w14:paraId="49ABB1A1"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Use-case(s) including the locations and number of switching points of the SBFD and non-SBFD symbols in the slot.</w:t>
            </w:r>
          </w:p>
          <w:p w14:paraId="5ACA424E"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Potential benefits if any</w:t>
            </w:r>
          </w:p>
          <w:p w14:paraId="1C5E9BDB"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Phase continuity</w:t>
            </w:r>
          </w:p>
          <w:p w14:paraId="748DDB26"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Potential interruption of transmissions/receptions during transition</w:t>
            </w:r>
          </w:p>
          <w:p w14:paraId="011D42A9"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Required guard time if any</w:t>
            </w:r>
          </w:p>
          <w:p w14:paraId="5A92F8A0"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Potential impact on performance</w:t>
            </w:r>
          </w:p>
          <w:p w14:paraId="53590AE9"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Impact on link adaptation, channel estimation, and other procedures</w:t>
            </w:r>
          </w:p>
          <w:p w14:paraId="1A046A75"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UL transmission timing if any</w:t>
            </w:r>
          </w:p>
          <w:p w14:paraId="3674CDDE"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Implementation complexity</w:t>
            </w:r>
          </w:p>
          <w:p w14:paraId="3A0A7C70"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Applicability for SBFD aware UE and non-SBFD aware UEs</w:t>
            </w:r>
          </w:p>
          <w:p w14:paraId="3F54B6C5" w14:textId="77777777" w:rsidR="00103D9C" w:rsidRPr="00362B37" w:rsidRDefault="00103D9C" w:rsidP="00103D9C">
            <w:pPr>
              <w:numPr>
                <w:ilvl w:val="0"/>
                <w:numId w:val="95"/>
              </w:numPr>
              <w:spacing w:after="0"/>
              <w:textAlignment w:val="center"/>
              <w:rPr>
                <w:rFonts w:ascii="Calibri" w:eastAsia="Times New Roman" w:hAnsi="Calibri" w:cs="Calibri"/>
              </w:rPr>
            </w:pPr>
            <w:r w:rsidRPr="00362B37">
              <w:rPr>
                <w:rFonts w:ascii="Times" w:eastAsia="Times New Roman" w:hAnsi="Times" w:cs="Times"/>
              </w:rPr>
              <w:t>NOTE: There are more than one scenario where a transmission overlaps SBFD and non-SBFD symbols and some may or may not face the aspects listed above</w:t>
            </w:r>
          </w:p>
          <w:p w14:paraId="34CB0756" w14:textId="17CA90E8" w:rsidR="00103D9C" w:rsidRPr="00692A9E" w:rsidRDefault="00103D9C" w:rsidP="00692A9E">
            <w:pPr>
              <w:numPr>
                <w:ilvl w:val="0"/>
                <w:numId w:val="95"/>
              </w:numPr>
              <w:spacing w:after="0"/>
              <w:textAlignment w:val="center"/>
              <w:rPr>
                <w:rFonts w:ascii="Calibri" w:eastAsia="Times New Roman" w:hAnsi="Calibri" w:cs="Calibri"/>
              </w:rPr>
            </w:pPr>
            <w:r w:rsidRPr="00362B37">
              <w:rPr>
                <w:rFonts w:ascii="Times" w:eastAsia="Times New Roman" w:hAnsi="Times" w:cs="Times"/>
              </w:rPr>
              <w:t xml:space="preserve">NOTE: This study doesn’t mean RAN1 agreement on a slot consisting of SBFD and non-SBFD symbols. </w:t>
            </w:r>
          </w:p>
        </w:tc>
      </w:tr>
    </w:tbl>
    <w:p w14:paraId="1F742D4A" w14:textId="77777777" w:rsidR="00C00D51" w:rsidRDefault="00C00D51" w:rsidP="00BF0F3F">
      <w:pPr>
        <w:pStyle w:val="CommentText"/>
      </w:pPr>
    </w:p>
    <w:p w14:paraId="54AED928" w14:textId="56B26127" w:rsidR="00F27EDE" w:rsidRPr="00F27EDE" w:rsidRDefault="00F27EDE" w:rsidP="00BF0F3F">
      <w:pPr>
        <w:pStyle w:val="CommentText"/>
        <w:rPr>
          <w:b/>
          <w:bCs/>
        </w:rPr>
      </w:pPr>
      <w:r w:rsidRPr="00F27EDE">
        <w:rPr>
          <w:b/>
          <w:bCs/>
        </w:rPr>
        <w:t>Use cases:</w:t>
      </w:r>
    </w:p>
    <w:p w14:paraId="48C77871" w14:textId="3535077F" w:rsidR="00185C41" w:rsidRDefault="008B2354" w:rsidP="005047DA">
      <w:pPr>
        <w:pStyle w:val="CommentText"/>
        <w:jc w:val="both"/>
      </w:pPr>
      <w:r>
        <w:t xml:space="preserve">The first part of the study is </w:t>
      </w:r>
      <w:r w:rsidR="008636A3">
        <w:t xml:space="preserve">to identify use cases in which </w:t>
      </w:r>
      <w:r w:rsidR="009658CF">
        <w:t>a transmission</w:t>
      </w:r>
      <w:r w:rsidR="005C7327">
        <w:t xml:space="preserve"> can be mapped </w:t>
      </w:r>
      <w:r w:rsidR="009658CF">
        <w:t>across</w:t>
      </w:r>
      <w:r w:rsidR="005C7327">
        <w:t xml:space="preserve"> SBFD and non-SBFD </w:t>
      </w:r>
      <w:r w:rsidR="00F126F8">
        <w:t>symbols within a slot</w:t>
      </w:r>
      <w:r w:rsidR="009658CF">
        <w:t>. We refer</w:t>
      </w:r>
      <w:r w:rsidR="00F27EDE">
        <w:t xml:space="preserve"> to </w:t>
      </w:r>
      <w:r w:rsidR="009658CF">
        <w:t xml:space="preserve">the mapping as cross-symbol-types mapping and </w:t>
      </w:r>
      <w:r w:rsidR="00F27EDE">
        <w:t>refer to</w:t>
      </w:r>
      <w:r w:rsidR="009658CF">
        <w:t xml:space="preserve"> the slot</w:t>
      </w:r>
      <w:r w:rsidR="00F27EDE">
        <w:t xml:space="preserve"> as mixed slot hereinafter</w:t>
      </w:r>
      <w:r w:rsidR="00F126F8">
        <w:t>.</w:t>
      </w:r>
      <w:r w:rsidR="00F27EDE">
        <w:t xml:space="preserve"> One obvious use case is to allow a full-slot scheduling for UL transmission in the mixed slot. Given that all symbols in the mixed slot in the UL subband are UL symbols, full-slot scheduling should be allowed, following legacy behaviours, without scheduling restriction. </w:t>
      </w:r>
      <w:r w:rsidR="001C7307">
        <w:t>The use case is important e</w:t>
      </w:r>
      <w:r w:rsidR="00801928">
        <w:t>specially for the flexible slot</w:t>
      </w:r>
      <w:r w:rsidR="001C7307">
        <w:t xml:space="preserve"> near to the UL slot, where there may be SBFD symbols and UL symbols. </w:t>
      </w:r>
    </w:p>
    <w:p w14:paraId="6B4B87E0" w14:textId="3CE56E5B" w:rsidR="00901AF7" w:rsidRDefault="00416EEB" w:rsidP="005047DA">
      <w:pPr>
        <w:pStyle w:val="CommentText"/>
        <w:jc w:val="both"/>
        <w:rPr>
          <w:rFonts w:eastAsiaTheme="minorEastAsia" w:cs="Arial"/>
        </w:rPr>
      </w:pPr>
      <w:r>
        <w:t>Similarly, this should also allow full-slot scheduling for DL transmission in DL subbands in the mixed slot.</w:t>
      </w:r>
      <w:r w:rsidR="00F126F8">
        <w:t xml:space="preserve"> </w:t>
      </w:r>
    </w:p>
    <w:p w14:paraId="411A8829" w14:textId="0A9667D4" w:rsidR="00416EEB" w:rsidRDefault="00416EEB" w:rsidP="00976DFF">
      <w:pPr>
        <w:pStyle w:val="Observation"/>
      </w:pPr>
      <w:bookmarkStart w:id="858" w:name="_Toc142394825"/>
      <w:bookmarkStart w:id="859" w:name="_Toc142394917"/>
      <w:bookmarkStart w:id="860" w:name="_Toc142397663"/>
      <w:bookmarkStart w:id="861" w:name="_Toc142397761"/>
      <w:bookmarkStart w:id="862" w:name="_Toc142397968"/>
      <w:bookmarkStart w:id="863" w:name="_Toc142399693"/>
      <w:bookmarkStart w:id="864" w:name="_Toc142400779"/>
      <w:bookmarkStart w:id="865" w:name="_Toc142400878"/>
      <w:bookmarkStart w:id="866" w:name="_Toc142400976"/>
      <w:bookmarkStart w:id="867" w:name="_Toc142401086"/>
      <w:bookmarkStart w:id="868" w:name="_Toc142401259"/>
      <w:bookmarkStart w:id="869" w:name="_Toc142466603"/>
      <w:bookmarkStart w:id="870" w:name="_Toc142481222"/>
      <w:bookmarkStart w:id="871" w:name="_Toc142482036"/>
      <w:r w:rsidRPr="00283D10">
        <w:t>The obvious use cases for allowing a transmission to be mapped across SBFD and non-SBFD symbols in a slot are to allow full-slot scheduling of UL or DL transmission in the slot, without scheduling restriction.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02B34B6" w14:textId="77E74210" w:rsidR="00B54D8D" w:rsidRPr="00283D10" w:rsidRDefault="00EF25D9" w:rsidP="007A651C">
      <w:pPr>
        <w:pStyle w:val="CommentText"/>
        <w:jc w:val="both"/>
      </w:pPr>
      <w:r>
        <w:t xml:space="preserve">Another use case </w:t>
      </w:r>
      <w:r w:rsidR="006F0B16">
        <w:t>that</w:t>
      </w:r>
      <w:r w:rsidR="001468B4">
        <w:t xml:space="preserve"> would benefit from cross-symbol-type mapping is the UCI</w:t>
      </w:r>
      <w:r w:rsidR="00456B33">
        <w:t xml:space="preserve"> mapping</w:t>
      </w:r>
      <w:r w:rsidR="001468B4">
        <w:t>.</w:t>
      </w:r>
      <w:r w:rsidR="00EF609C">
        <w:t xml:space="preserve"> The SBFD symbols provide more opportunities for sending PUSCH or PUCCH, but non-SBFD symbols are more robust to interference. </w:t>
      </w:r>
      <w:r w:rsidR="002219B7">
        <w:t xml:space="preserve"> </w:t>
      </w:r>
      <w:r w:rsidR="0082410B">
        <w:t xml:space="preserve">In case the PUSCH or PUCCH is mapped into SBFD and non-SBFD symbols, the UCI </w:t>
      </w:r>
      <w:r w:rsidR="00B54D8D">
        <w:t>can for example, be mapped in the non-SBFD symbols in this allocation. It is worth noting that in case PUSCH/ PDSCH covers two types of symbols, the DMRS should also cover SBFD and non-SBFD symbols.</w:t>
      </w:r>
    </w:p>
    <w:p w14:paraId="52316221" w14:textId="2E274042" w:rsidR="00F27EDE" w:rsidRPr="00F27EDE" w:rsidRDefault="00F27EDE" w:rsidP="00BF0F3F">
      <w:pPr>
        <w:pStyle w:val="CommentText"/>
        <w:rPr>
          <w:rFonts w:eastAsiaTheme="minorEastAsia" w:cs="Arial"/>
          <w:b/>
          <w:bCs/>
        </w:rPr>
      </w:pPr>
      <w:r w:rsidRPr="00F27EDE">
        <w:rPr>
          <w:rFonts w:eastAsiaTheme="minorEastAsia" w:cs="Arial"/>
          <w:b/>
          <w:bCs/>
        </w:rPr>
        <w:t>Potential benefits:</w:t>
      </w:r>
    </w:p>
    <w:p w14:paraId="4E003910" w14:textId="71498A96" w:rsidR="00FF5844" w:rsidRDefault="00D30877" w:rsidP="003F50FA">
      <w:pPr>
        <w:pStyle w:val="CommentText"/>
        <w:jc w:val="both"/>
      </w:pPr>
      <w:r w:rsidRPr="003F50FA">
        <w:t xml:space="preserve">The benefit for allowing a transmission/ reception occasion to be mapped </w:t>
      </w:r>
      <w:r w:rsidR="00D245C1" w:rsidRPr="003F50FA">
        <w:t>across</w:t>
      </w:r>
      <w:r w:rsidRPr="003F50FA">
        <w:t xml:space="preserve"> SBFD and non-SBFD symbols within a slot is that </w:t>
      </w:r>
      <w:r w:rsidR="00C81742" w:rsidRPr="003F50FA">
        <w:t xml:space="preserve">it </w:t>
      </w:r>
      <w:r w:rsidR="00D245C1" w:rsidRPr="003F50FA">
        <w:t>avoid</w:t>
      </w:r>
      <w:r w:rsidR="00741F49" w:rsidRPr="003F50FA">
        <w:t xml:space="preserve">s </w:t>
      </w:r>
      <w:r w:rsidR="00D245C1" w:rsidRPr="003F50FA">
        <w:t xml:space="preserve">either scheduling restriction at the scheduler or specific handling rules at the UE. </w:t>
      </w:r>
      <w:r w:rsidR="009658CF" w:rsidRPr="003F50FA">
        <w:t xml:space="preserve">On the other hand, a common scenario would be that the mixed slot is (legacy) special slot, within which the number of SBFD symbols will be </w:t>
      </w:r>
      <w:r w:rsidR="004F3862">
        <w:t>larger</w:t>
      </w:r>
      <w:r w:rsidR="004F3862" w:rsidRPr="003F50FA">
        <w:t xml:space="preserve"> </w:t>
      </w:r>
      <w:r w:rsidR="009658CF" w:rsidRPr="003F50FA">
        <w:t>than number of non-SBFD symbols. Therefore, if</w:t>
      </w:r>
      <w:r w:rsidR="008F115C" w:rsidRPr="003F50FA">
        <w:t xml:space="preserve"> cross-symbol-types mapping is not allowed, the scheduler would mostly schedule transmission </w:t>
      </w:r>
      <w:r w:rsidR="0083025A" w:rsidRPr="003F50FA">
        <w:t xml:space="preserve">only </w:t>
      </w:r>
      <w:r w:rsidR="008F115C" w:rsidRPr="003F50FA">
        <w:t xml:space="preserve">on SBFD symbols </w:t>
      </w:r>
      <w:r w:rsidR="0083025A" w:rsidRPr="003F50FA">
        <w:t>in the slot</w:t>
      </w:r>
      <w:r w:rsidR="008F115C" w:rsidRPr="003F50FA">
        <w:t>. However, performance of a</w:t>
      </w:r>
      <w:r w:rsidR="009658CF" w:rsidRPr="003F50FA">
        <w:t xml:space="preserve"> </w:t>
      </w:r>
      <w:r w:rsidR="008F115C" w:rsidRPr="003F50FA">
        <w:t>transmission on SBFD symbols only may be worse than performance of a transmission with cross-symbol-types mapping</w:t>
      </w:r>
      <w:r w:rsidR="00A45420" w:rsidRPr="003F50FA">
        <w:t>. Indeed,</w:t>
      </w:r>
      <w:r w:rsidR="008F115C" w:rsidRPr="003F50FA">
        <w:t xml:space="preserve"> </w:t>
      </w:r>
      <w:r w:rsidR="00A45420" w:rsidRPr="003F50FA">
        <w:t>given that</w:t>
      </w:r>
      <w:r w:rsidR="008F115C" w:rsidRPr="003F50FA">
        <w:t xml:space="preserve"> </w:t>
      </w:r>
      <w:r w:rsidR="00A45420" w:rsidRPr="003F50FA">
        <w:t>i</w:t>
      </w:r>
      <w:r w:rsidR="00741F49" w:rsidRPr="003F50FA">
        <w:t xml:space="preserve">nterference is lower in non-SBFD symbol </w:t>
      </w:r>
      <w:r w:rsidR="00A45420" w:rsidRPr="003F50FA">
        <w:t>compared</w:t>
      </w:r>
      <w:r w:rsidR="00741F49" w:rsidRPr="003F50FA">
        <w:t xml:space="preserve"> to its counterpart,</w:t>
      </w:r>
      <w:r w:rsidR="00A45420" w:rsidRPr="003F50FA">
        <w:t xml:space="preserve"> interleaved encoded bits are spread across symbol types and may result in better performance.</w:t>
      </w:r>
      <w:r w:rsidR="00741F49" w:rsidRPr="003F50FA">
        <w:t xml:space="preserve"> Another benefit could be that, in case of UCI multiplexing on PUSCH, the UCI may be multiplexed on the non-SBFD symbols with lower interference.</w:t>
      </w:r>
      <w:r w:rsidR="007E7AB1" w:rsidRPr="003F50FA">
        <w:t xml:space="preserve"> </w:t>
      </w:r>
      <w:r w:rsidR="0052187C" w:rsidRPr="003F50FA">
        <w:t>However, it’s worth noting that</w:t>
      </w:r>
      <w:r w:rsidR="006C4199" w:rsidRPr="003F50FA">
        <w:t xml:space="preserve"> this is not the only way of protecting UCI</w:t>
      </w:r>
      <w:r w:rsidR="0052187C" w:rsidRPr="003F50FA">
        <w:t xml:space="preserve"> from CLI, e.g.,</w:t>
      </w:r>
      <w:r w:rsidR="006C4199" w:rsidRPr="003F50FA">
        <w:t xml:space="preserve"> </w:t>
      </w:r>
      <w:r w:rsidR="0052187C" w:rsidRPr="003F50FA">
        <w:t xml:space="preserve">an approach of avoiding mapping control bits in the PRBs that that close to DL subbands may help isolating at least inter-subband CLI as well, although it’s less ideal.  </w:t>
      </w:r>
      <w:r w:rsidR="006C4199" w:rsidRPr="003F50FA">
        <w:t xml:space="preserve"> </w:t>
      </w:r>
    </w:p>
    <w:p w14:paraId="10426473" w14:textId="50FB267C" w:rsidR="00223944" w:rsidRPr="00976DFF" w:rsidRDefault="00A45420" w:rsidP="00976DFF">
      <w:pPr>
        <w:pStyle w:val="Observation"/>
      </w:pPr>
      <w:bookmarkStart w:id="872" w:name="_Toc142394826"/>
      <w:bookmarkStart w:id="873" w:name="_Toc142394918"/>
      <w:bookmarkStart w:id="874" w:name="_Toc142397664"/>
      <w:bookmarkStart w:id="875" w:name="_Toc142397762"/>
      <w:bookmarkStart w:id="876" w:name="_Toc142397969"/>
      <w:bookmarkStart w:id="877" w:name="_Toc142399694"/>
      <w:bookmarkStart w:id="878" w:name="_Toc142400780"/>
      <w:bookmarkStart w:id="879" w:name="_Toc142400879"/>
      <w:bookmarkStart w:id="880" w:name="_Toc142400977"/>
      <w:bookmarkStart w:id="881" w:name="_Toc142401087"/>
      <w:bookmarkStart w:id="882" w:name="_Toc142401260"/>
      <w:bookmarkStart w:id="883" w:name="_Toc142466604"/>
      <w:bookmarkStart w:id="884" w:name="_Toc142481223"/>
      <w:bookmarkStart w:id="885" w:name="_Toc142482037"/>
      <w:r w:rsidRPr="00976DFF">
        <w:t>Several benefits of allowing a transmission to be mapped across SBFD and non-SBFD symbols in a slot could be observed, namely avoiding either scheduling restriction at the scheduler or specific handling rules at the UEs</w:t>
      </w:r>
      <w:r w:rsidR="00223944" w:rsidRPr="00976DFF">
        <w:t xml:space="preserve"> or offering better performance for data (or control bits, if any) thanks to interleaving the encoded bits across symbol types given that lower interference is expected in non-SBFD symbols.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63104913" w14:textId="77777777" w:rsidR="00223944" w:rsidRDefault="00223944" w:rsidP="00BF0F3F">
      <w:pPr>
        <w:pStyle w:val="CommentText"/>
        <w:rPr>
          <w:rFonts w:eastAsiaTheme="minorEastAsia" w:cs="Arial"/>
        </w:rPr>
      </w:pPr>
    </w:p>
    <w:p w14:paraId="1EB0C9FD" w14:textId="7EDB9845" w:rsidR="00CD739E" w:rsidRPr="00283D10" w:rsidRDefault="00CD739E" w:rsidP="00BF0F3F">
      <w:pPr>
        <w:pStyle w:val="CommentText"/>
        <w:rPr>
          <w:rFonts w:eastAsiaTheme="minorEastAsia" w:cs="Arial"/>
          <w:b/>
          <w:bCs/>
        </w:rPr>
      </w:pPr>
      <w:r w:rsidRPr="00283D10">
        <w:rPr>
          <w:rFonts w:eastAsiaTheme="minorEastAsia" w:cs="Arial"/>
          <w:b/>
          <w:bCs/>
        </w:rPr>
        <w:t>Potential interruption/required guard time</w:t>
      </w:r>
    </w:p>
    <w:p w14:paraId="02A19649" w14:textId="206F6577" w:rsidR="00EB2888" w:rsidRDefault="00B00DF2" w:rsidP="005047DA">
      <w:pPr>
        <w:pStyle w:val="CommentText"/>
        <w:jc w:val="both"/>
        <w:rPr>
          <w:rFonts w:eastAsiaTheme="minorEastAsia" w:cs="Arial"/>
        </w:rPr>
      </w:pPr>
      <w:r>
        <w:rPr>
          <w:rFonts w:eastAsiaTheme="minorEastAsia" w:cs="Arial"/>
        </w:rPr>
        <w:t>From discussions in RAN1#112 and RAN1</w:t>
      </w:r>
      <w:r w:rsidR="005709F1">
        <w:rPr>
          <w:rFonts w:eastAsiaTheme="minorEastAsia" w:cs="Arial"/>
        </w:rPr>
        <w:t>#</w:t>
      </w:r>
      <w:r>
        <w:rPr>
          <w:rFonts w:eastAsiaTheme="minorEastAsia" w:cs="Arial"/>
        </w:rPr>
        <w:t xml:space="preserve">12bis-e, our understanding on the potential interruption or required guard time is due to concerns on implementation, namely a transition time for potentially switching panels, tuning </w:t>
      </w:r>
      <w:proofErr w:type="gramStart"/>
      <w:r>
        <w:rPr>
          <w:rFonts w:eastAsiaTheme="minorEastAsia" w:cs="Arial"/>
        </w:rPr>
        <w:t>filter</w:t>
      </w:r>
      <w:proofErr w:type="gramEnd"/>
      <w:r>
        <w:rPr>
          <w:rFonts w:eastAsiaTheme="minorEastAsia" w:cs="Arial"/>
        </w:rPr>
        <w:t xml:space="preserve"> and adjusting timing and</w:t>
      </w:r>
      <w:r w:rsidR="000E5AAA">
        <w:rPr>
          <w:rFonts w:eastAsiaTheme="minorEastAsia" w:cs="Arial"/>
        </w:rPr>
        <w:t>/</w:t>
      </w:r>
      <w:r>
        <w:rPr>
          <w:rFonts w:eastAsiaTheme="minorEastAsia" w:cs="Arial"/>
        </w:rPr>
        <w:t xml:space="preserve">or sampling rate </w:t>
      </w:r>
      <w:r w:rsidR="000E5AAA">
        <w:rPr>
          <w:rFonts w:eastAsiaTheme="minorEastAsia" w:cs="Arial"/>
        </w:rPr>
        <w:t>when moving from one symbol type to another</w:t>
      </w:r>
      <w:r>
        <w:rPr>
          <w:rFonts w:eastAsiaTheme="minorEastAsia" w:cs="Arial"/>
        </w:rPr>
        <w:t>.</w:t>
      </w:r>
      <w:r w:rsidR="000E5AAA">
        <w:rPr>
          <w:rFonts w:eastAsiaTheme="minorEastAsia" w:cs="Arial"/>
        </w:rPr>
        <w:t xml:space="preserve"> </w:t>
      </w:r>
    </w:p>
    <w:p w14:paraId="16872A3D" w14:textId="6E2A1A79" w:rsidR="009A538A" w:rsidRDefault="009A538A" w:rsidP="009A538A">
      <w:pPr>
        <w:pStyle w:val="00BodyText"/>
        <w:jc w:val="both"/>
        <w:rPr>
          <w:rFonts w:ascii="Times New Roman" w:hAnsi="Times New Roman"/>
          <w:sz w:val="20"/>
        </w:rPr>
      </w:pPr>
      <w:r w:rsidRPr="00965BA3">
        <w:rPr>
          <w:rFonts w:ascii="Times New Roman" w:hAnsi="Times New Roman"/>
          <w:sz w:val="20"/>
        </w:rPr>
        <w:t xml:space="preserve">The conclusion from RAN1 #113 is that a guard period between SBFD and non-SBFD symbols may or may not be required at gNB and/or UE site depending on gNB/UE implementation and/or SBFD operation. As raised by different companies in the last RAN1 meeting, the need for a guard band would depend on what is the antenna configuration at the gNB, whether there is need for switching the </w:t>
      </w:r>
      <w:proofErr w:type="spellStart"/>
      <w:r w:rsidRPr="00965BA3">
        <w:rPr>
          <w:rFonts w:ascii="Times New Roman" w:hAnsi="Times New Roman"/>
          <w:sz w:val="20"/>
        </w:rPr>
        <w:t>TxRUs</w:t>
      </w:r>
      <w:proofErr w:type="spellEnd"/>
      <w:r w:rsidRPr="00965BA3">
        <w:rPr>
          <w:rFonts w:ascii="Times New Roman" w:hAnsi="Times New Roman"/>
          <w:sz w:val="20"/>
        </w:rPr>
        <w:t xml:space="preserve"> between an SBFD and non-SBFD symbol, and whether the </w:t>
      </w:r>
      <w:proofErr w:type="spellStart"/>
      <w:r w:rsidRPr="00965BA3">
        <w:rPr>
          <w:rFonts w:ascii="Times New Roman" w:hAnsi="Times New Roman"/>
          <w:sz w:val="20"/>
        </w:rPr>
        <w:t>N</w:t>
      </w:r>
      <w:r w:rsidRPr="00965BA3">
        <w:rPr>
          <w:rFonts w:ascii="Times New Roman" w:hAnsi="Times New Roman"/>
          <w:sz w:val="20"/>
          <w:vertAlign w:val="subscript"/>
        </w:rPr>
        <w:t>TA_offset</w:t>
      </w:r>
      <w:proofErr w:type="spellEnd"/>
      <w:r w:rsidRPr="00965BA3">
        <w:rPr>
          <w:rFonts w:ascii="Times New Roman" w:hAnsi="Times New Roman"/>
          <w:sz w:val="20"/>
        </w:rPr>
        <w:t xml:space="preserve"> is set to zero in SBFD symbols, and to a non-zero value in non-SBFD symbols. </w:t>
      </w:r>
      <w:r w:rsidR="0023186D">
        <w:rPr>
          <w:rFonts w:ascii="Times New Roman" w:hAnsi="Times New Roman"/>
          <w:sz w:val="20"/>
        </w:rPr>
        <w:t>RAN1 should</w:t>
      </w:r>
      <w:r w:rsidR="00E43E31">
        <w:rPr>
          <w:rFonts w:ascii="Times New Roman" w:hAnsi="Times New Roman"/>
          <w:sz w:val="20"/>
        </w:rPr>
        <w:t xml:space="preserve"> consider the minimum number of transition period needed</w:t>
      </w:r>
      <w:r w:rsidR="00493BF4">
        <w:rPr>
          <w:rFonts w:ascii="Times New Roman" w:hAnsi="Times New Roman"/>
          <w:sz w:val="20"/>
        </w:rPr>
        <w:t xml:space="preserve"> and avoid unnecess</w:t>
      </w:r>
      <w:r w:rsidR="006C169E">
        <w:rPr>
          <w:rFonts w:ascii="Times New Roman" w:hAnsi="Times New Roman"/>
          <w:sz w:val="20"/>
        </w:rPr>
        <w:t>ary overhead</w:t>
      </w:r>
      <w:r w:rsidR="00E13530">
        <w:rPr>
          <w:rFonts w:ascii="Times New Roman" w:hAnsi="Times New Roman"/>
          <w:sz w:val="20"/>
        </w:rPr>
        <w:t>.</w:t>
      </w:r>
    </w:p>
    <w:p w14:paraId="5A6C3548" w14:textId="77777777" w:rsidR="009A538A" w:rsidRPr="00965BA3" w:rsidRDefault="009A538A" w:rsidP="009A538A">
      <w:pPr>
        <w:pStyle w:val="00BodyText"/>
        <w:jc w:val="both"/>
      </w:pPr>
      <w:r w:rsidRPr="00965BA3">
        <w:rPr>
          <w:rFonts w:ascii="Times New Roman" w:hAnsi="Times New Roman"/>
          <w:sz w:val="20"/>
        </w:rPr>
        <w:t xml:space="preserve">In antenna configuration 2, method 2-1, and in antenna configuration 3, methods 3-1, one panel group is always used for DL and the other is always used for UL. In antenna configuration 1, and in antenna configuration 2, method 2-2 and antenna configuration 3, method 3-3, a panel group can be used for DL and UL, just as in TDD operation. RAN4 is discussing whether a transient period requirement needs to be defined from the switching between a non-SBFD to SBFD symbol and vice-versa. Apart from the gNB implementation, our view is that the length of the guard period would also depend on whether the </w:t>
      </w:r>
      <w:proofErr w:type="spellStart"/>
      <w:r w:rsidRPr="00965BA3">
        <w:rPr>
          <w:rFonts w:ascii="Times New Roman" w:hAnsi="Times New Roman"/>
          <w:sz w:val="20"/>
        </w:rPr>
        <w:t>N</w:t>
      </w:r>
      <w:r w:rsidRPr="00965BA3">
        <w:rPr>
          <w:rFonts w:ascii="Times New Roman" w:hAnsi="Times New Roman"/>
          <w:sz w:val="20"/>
          <w:vertAlign w:val="subscript"/>
        </w:rPr>
        <w:t>TA_offset</w:t>
      </w:r>
      <w:proofErr w:type="spellEnd"/>
      <w:r w:rsidRPr="00965BA3">
        <w:rPr>
          <w:rFonts w:ascii="Times New Roman" w:hAnsi="Times New Roman"/>
          <w:sz w:val="20"/>
        </w:rPr>
        <w:t xml:space="preserve"> in the UE is configured or not to be zero, </w:t>
      </w:r>
      <w:proofErr w:type="spellStart"/>
      <w:r w:rsidRPr="00965BA3">
        <w:rPr>
          <w:rFonts w:ascii="Times New Roman" w:hAnsi="Times New Roman"/>
          <w:sz w:val="20"/>
        </w:rPr>
        <w:t>i.e</w:t>
      </w:r>
      <w:proofErr w:type="spellEnd"/>
      <w:r w:rsidRPr="00965BA3">
        <w:rPr>
          <w:rFonts w:ascii="Times New Roman" w:hAnsi="Times New Roman"/>
          <w:sz w:val="20"/>
        </w:rPr>
        <w:t xml:space="preserve">, whether </w:t>
      </w:r>
      <w:proofErr w:type="spellStart"/>
      <w:r w:rsidRPr="00965BA3">
        <w:rPr>
          <w:rFonts w:ascii="Times New Roman" w:hAnsi="Times New Roman"/>
          <w:sz w:val="20"/>
        </w:rPr>
        <w:t>N</w:t>
      </w:r>
      <w:r w:rsidRPr="00965BA3">
        <w:rPr>
          <w:rFonts w:ascii="Times New Roman" w:hAnsi="Times New Roman"/>
          <w:sz w:val="20"/>
          <w:vertAlign w:val="subscript"/>
        </w:rPr>
        <w:t>TA_offset</w:t>
      </w:r>
      <w:proofErr w:type="spellEnd"/>
      <w:r w:rsidRPr="00965BA3">
        <w:rPr>
          <w:rFonts w:ascii="Times New Roman" w:hAnsi="Times New Roman"/>
          <w:sz w:val="20"/>
        </w:rPr>
        <w:t xml:space="preserve"> assumes different values in SBFD or non-SBFD slots.</w:t>
      </w:r>
      <w:r>
        <w:t xml:space="preserve"> </w:t>
      </w:r>
    </w:p>
    <w:p w14:paraId="163BCECA" w14:textId="6C5A1E03" w:rsidR="00EB2888" w:rsidRPr="00A56306" w:rsidRDefault="00F33E10" w:rsidP="008E2DA0">
      <w:pPr>
        <w:pStyle w:val="Proposal"/>
        <w:rPr>
          <w:rFonts w:eastAsiaTheme="minorEastAsia" w:cs="Arial"/>
        </w:rPr>
      </w:pPr>
      <w:bookmarkStart w:id="886" w:name="_Toc142399696"/>
      <w:bookmarkStart w:id="887" w:name="_Toc142400782"/>
      <w:bookmarkStart w:id="888" w:name="_Toc142481224"/>
      <w:bookmarkStart w:id="889" w:name="_Toc142482038"/>
      <w:bookmarkStart w:id="890" w:name="_Toc142399695"/>
      <w:bookmarkStart w:id="891" w:name="_Toc142400781"/>
      <w:bookmarkStart w:id="892" w:name="_Toc142400880"/>
      <w:bookmarkStart w:id="893" w:name="_Toc142400978"/>
      <w:bookmarkStart w:id="894" w:name="_Toc142401088"/>
      <w:bookmarkStart w:id="895" w:name="_Toc142401261"/>
      <w:bookmarkStart w:id="896" w:name="_Toc142466605"/>
      <w:bookmarkEnd w:id="886"/>
      <w:bookmarkEnd w:id="887"/>
      <w:r>
        <w:t xml:space="preserve">The exact value of the guard-period </w:t>
      </w:r>
      <w:r w:rsidRPr="00F33E10">
        <w:t>between</w:t>
      </w:r>
      <w:r>
        <w:t xml:space="preserve"> SBFD and non-SBFD symbols can be discussed in the WI phase.</w:t>
      </w:r>
      <w:bookmarkEnd w:id="888"/>
      <w:bookmarkEnd w:id="889"/>
      <w:r>
        <w:t xml:space="preserve"> </w:t>
      </w:r>
      <w:bookmarkEnd w:id="890"/>
      <w:bookmarkEnd w:id="891"/>
      <w:bookmarkEnd w:id="892"/>
      <w:bookmarkEnd w:id="893"/>
      <w:bookmarkEnd w:id="894"/>
      <w:bookmarkEnd w:id="895"/>
      <w:bookmarkEnd w:id="896"/>
    </w:p>
    <w:p w14:paraId="7421B84F" w14:textId="7224CAC8" w:rsidR="00CD739E" w:rsidRDefault="000E5AAA" w:rsidP="005047DA">
      <w:pPr>
        <w:pStyle w:val="CommentText"/>
        <w:jc w:val="both"/>
        <w:rPr>
          <w:rFonts w:eastAsiaTheme="minorEastAsia" w:cs="Arial"/>
        </w:rPr>
      </w:pPr>
      <w:r>
        <w:rPr>
          <w:rFonts w:eastAsiaTheme="minorEastAsia" w:cs="Arial"/>
        </w:rPr>
        <w:t>In our view, these are potential implementation issues, which may or may not exist depending on</w:t>
      </w:r>
      <w:r w:rsidR="00A56306">
        <w:rPr>
          <w:rFonts w:eastAsiaTheme="minorEastAsia" w:cs="Arial"/>
        </w:rPr>
        <w:t xml:space="preserve"> the Base station and</w:t>
      </w:r>
      <w:r>
        <w:rPr>
          <w:rFonts w:eastAsiaTheme="minorEastAsia" w:cs="Arial"/>
        </w:rPr>
        <w:t xml:space="preserve"> UE implementation/capability. However, if a long guard time is introduced in the end, then allowing cross-symbol-types mapping may not be very beneficial anymore. Indeed, considering </w:t>
      </w:r>
      <w:r w:rsidR="00BD4369">
        <w:rPr>
          <w:rFonts w:eastAsiaTheme="minorEastAsia" w:cs="Arial"/>
        </w:rPr>
        <w:t xml:space="preserve">again the mixed slot as legacy special slot with 10D:2G:2U symbol split. If the 2 gap symbols are used </w:t>
      </w:r>
      <w:r w:rsidR="00B00DF2">
        <w:rPr>
          <w:rFonts w:eastAsiaTheme="minorEastAsia" w:cs="Arial"/>
        </w:rPr>
        <w:t xml:space="preserve">for </w:t>
      </w:r>
      <w:r w:rsidR="00BD4369">
        <w:rPr>
          <w:rFonts w:eastAsiaTheme="minorEastAsia" w:cs="Arial"/>
        </w:rPr>
        <w:t xml:space="preserve">guard </w:t>
      </w:r>
      <w:proofErr w:type="gramStart"/>
      <w:r w:rsidR="00BD4369">
        <w:rPr>
          <w:rFonts w:eastAsiaTheme="minorEastAsia" w:cs="Arial"/>
        </w:rPr>
        <w:t>time</w:t>
      </w:r>
      <w:proofErr w:type="gramEnd"/>
      <w:r w:rsidR="00BD4369">
        <w:rPr>
          <w:rFonts w:eastAsiaTheme="minorEastAsia" w:cs="Arial"/>
        </w:rPr>
        <w:t xml:space="preserve"> then the benefit is clearly worse compared to the case when guard time is not introduced. This not only because less symbols are used for data transmission, but also because the number of low CLI symbols is reduced from 4 to 2 in this example</w:t>
      </w:r>
      <w:r w:rsidR="00B00DF2">
        <w:rPr>
          <w:rFonts w:eastAsiaTheme="minorEastAsia" w:cs="Arial"/>
        </w:rPr>
        <w:t>.</w:t>
      </w:r>
    </w:p>
    <w:p w14:paraId="040E76E6" w14:textId="6DA33988" w:rsidR="00BD4369" w:rsidRPr="003F50FA" w:rsidRDefault="00BD4369" w:rsidP="003F50FA">
      <w:pPr>
        <w:pStyle w:val="Observation"/>
      </w:pPr>
      <w:r w:rsidRPr="003F50FA">
        <w:t xml:space="preserve"> </w:t>
      </w:r>
      <w:bookmarkStart w:id="897" w:name="_Toc142394827"/>
      <w:bookmarkStart w:id="898" w:name="_Toc142394919"/>
      <w:bookmarkStart w:id="899" w:name="_Toc142397665"/>
      <w:bookmarkStart w:id="900" w:name="_Toc142397763"/>
      <w:bookmarkStart w:id="901" w:name="_Toc142397970"/>
      <w:bookmarkStart w:id="902" w:name="_Toc142399697"/>
      <w:bookmarkStart w:id="903" w:name="_Toc142400783"/>
      <w:bookmarkStart w:id="904" w:name="_Toc142400881"/>
      <w:bookmarkStart w:id="905" w:name="_Toc142400979"/>
      <w:bookmarkStart w:id="906" w:name="_Toc142401089"/>
      <w:bookmarkStart w:id="907" w:name="_Toc142401262"/>
      <w:bookmarkStart w:id="908" w:name="_Toc142466606"/>
      <w:bookmarkStart w:id="909" w:name="_Toc142481225"/>
      <w:bookmarkStart w:id="910" w:name="_Toc142482039"/>
      <w:r w:rsidRPr="003F50FA">
        <w:t>If a long guard time is introduced to account for implementation limitation, the benefit of allowing a transmission to be mapped across SBFD and non-SBFD symbols in a slot would be less significant.</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r w:rsidRPr="003F50FA">
        <w:t xml:space="preserve"> </w:t>
      </w:r>
    </w:p>
    <w:p w14:paraId="096B7C8E" w14:textId="0B1CEEF9" w:rsidR="00F27EDE" w:rsidRPr="00F27EDE" w:rsidRDefault="00F27EDE" w:rsidP="00BF0F3F">
      <w:pPr>
        <w:pStyle w:val="CommentText"/>
        <w:rPr>
          <w:rFonts w:eastAsiaTheme="minorEastAsia" w:cs="Arial"/>
          <w:b/>
          <w:bCs/>
        </w:rPr>
      </w:pPr>
      <w:r w:rsidRPr="00F27EDE">
        <w:rPr>
          <w:rFonts w:eastAsiaTheme="minorEastAsia" w:cs="Arial"/>
          <w:b/>
          <w:bCs/>
        </w:rPr>
        <w:t>Issues with not allowing a transmission to be mapped across SBFD and non-SBFD symbols in a slot:</w:t>
      </w:r>
    </w:p>
    <w:p w14:paraId="0669D5DB" w14:textId="439D9E29" w:rsidR="00D30877" w:rsidRDefault="00BD4369" w:rsidP="005047DA">
      <w:pPr>
        <w:pStyle w:val="CommentText"/>
        <w:jc w:val="both"/>
        <w:rPr>
          <w:rFonts w:eastAsiaTheme="minorEastAsia" w:cs="Arial"/>
        </w:rPr>
      </w:pPr>
      <w:r>
        <w:rPr>
          <w:rFonts w:eastAsiaTheme="minorEastAsia" w:cs="Arial"/>
        </w:rPr>
        <w:t>If</w:t>
      </w:r>
      <w:r w:rsidR="00835E26">
        <w:rPr>
          <w:rFonts w:eastAsiaTheme="minorEastAsia" w:cs="Arial"/>
        </w:rPr>
        <w:t xml:space="preserve"> a transmission is not allowed to be mapped across SBFD and non-SBFD symbols in a slot, then UE behaviour for TDRA determination for the transmission/repetition that spans across SBFD and non-SBFD symbols within a slot should be defined.</w:t>
      </w:r>
      <w:r w:rsidR="00070A72">
        <w:rPr>
          <w:rFonts w:eastAsiaTheme="minorEastAsia" w:cs="Arial"/>
        </w:rPr>
        <w:t xml:space="preserve"> Furthermore, legacy UEs are not aware </w:t>
      </w:r>
      <w:r w:rsidR="00150C5C">
        <w:rPr>
          <w:rFonts w:eastAsiaTheme="minorEastAsia" w:cs="Arial"/>
        </w:rPr>
        <w:t>of SBFD symbols, and would receive in DL slots (which might be configured as SBFD by the network).</w:t>
      </w:r>
      <w:r w:rsidR="00027130">
        <w:rPr>
          <w:rFonts w:eastAsiaTheme="minorEastAsia" w:cs="Arial"/>
        </w:rPr>
        <w:t xml:space="preserve"> </w:t>
      </w:r>
      <w:r w:rsidR="00835E26" w:rsidRPr="00C81CC7">
        <w:rPr>
          <w:rFonts w:eastAsiaTheme="minorEastAsia" w:cs="Arial"/>
        </w:rPr>
        <w:t>This is relevant</w:t>
      </w:r>
      <w:r w:rsidR="00606C96" w:rsidRPr="00C81CC7">
        <w:rPr>
          <w:rFonts w:eastAsiaTheme="minorEastAsia" w:cs="Arial"/>
        </w:rPr>
        <w:t>,</w:t>
      </w:r>
      <w:r w:rsidR="00835E26" w:rsidRPr="00C81CC7">
        <w:rPr>
          <w:rFonts w:eastAsiaTheme="minorEastAsia" w:cs="Arial"/>
        </w:rPr>
        <w:t xml:space="preserve"> for</w:t>
      </w:r>
      <w:r w:rsidR="002E2DF2" w:rsidRPr="00C81CC7">
        <w:rPr>
          <w:rFonts w:eastAsiaTheme="minorEastAsia" w:cs="Arial"/>
        </w:rPr>
        <w:t xml:space="preserve"> example</w:t>
      </w:r>
      <w:r w:rsidR="00606C96" w:rsidRPr="00C81CC7">
        <w:rPr>
          <w:rFonts w:eastAsiaTheme="minorEastAsia" w:cs="Arial"/>
        </w:rPr>
        <w:t>,</w:t>
      </w:r>
      <w:r w:rsidR="002E2DF2" w:rsidRPr="00C81CC7">
        <w:rPr>
          <w:rFonts w:eastAsiaTheme="minorEastAsia" w:cs="Arial"/>
        </w:rPr>
        <w:t xml:space="preserve"> for the case of </w:t>
      </w:r>
      <w:r w:rsidR="00DA1465" w:rsidRPr="00C81CC7">
        <w:rPr>
          <w:rFonts w:eastAsiaTheme="minorEastAsia" w:cs="Arial"/>
        </w:rPr>
        <w:t xml:space="preserve">one transmission spans multiple slots, </w:t>
      </w:r>
      <w:proofErr w:type="spellStart"/>
      <w:r w:rsidR="00DA1465" w:rsidRPr="00C81CC7">
        <w:rPr>
          <w:rFonts w:eastAsiaTheme="minorEastAsia" w:cs="Arial"/>
        </w:rPr>
        <w:t>TBoMS</w:t>
      </w:r>
      <w:proofErr w:type="spellEnd"/>
      <w:r w:rsidR="00DA1465" w:rsidRPr="00C81CC7">
        <w:rPr>
          <w:rFonts w:eastAsiaTheme="minorEastAsia" w:cs="Arial"/>
        </w:rPr>
        <w:t>, and at least one of these slots consists of symbols of different types</w:t>
      </w:r>
      <w:r w:rsidR="00DE3C03" w:rsidRPr="00C81CC7">
        <w:rPr>
          <w:rFonts w:eastAsiaTheme="minorEastAsia" w:cs="Arial"/>
        </w:rPr>
        <w:t>.</w:t>
      </w:r>
      <w:r w:rsidR="00DE3C03">
        <w:rPr>
          <w:rFonts w:eastAsiaTheme="minorEastAsia" w:cs="Arial"/>
        </w:rPr>
        <w:t xml:space="preserve"> Another relevant case is </w:t>
      </w:r>
      <w:r w:rsidR="00C27920">
        <w:rPr>
          <w:rFonts w:eastAsiaTheme="minorEastAsia" w:cs="Arial"/>
        </w:rPr>
        <w:t xml:space="preserve">semi-static scheduling or, even more relevant, for the case of PUSCH/PDSCH transmission with repetitions given that the repetitions </w:t>
      </w:r>
      <w:proofErr w:type="gramStart"/>
      <w:r w:rsidR="00C27920">
        <w:rPr>
          <w:rFonts w:eastAsiaTheme="minorEastAsia" w:cs="Arial"/>
        </w:rPr>
        <w:t>follows</w:t>
      </w:r>
      <w:proofErr w:type="gramEnd"/>
      <w:r w:rsidR="00C27920">
        <w:rPr>
          <w:rFonts w:eastAsiaTheme="minorEastAsia" w:cs="Arial"/>
        </w:rPr>
        <w:t xml:space="preserve"> the same </w:t>
      </w:r>
      <w:r w:rsidR="00386BF1">
        <w:rPr>
          <w:rFonts w:eastAsiaTheme="minorEastAsia" w:cs="Arial"/>
        </w:rPr>
        <w:t>time domain resource allocation as allocated for the first repetition.</w:t>
      </w:r>
      <w:r w:rsidR="00C81742">
        <w:rPr>
          <w:rFonts w:eastAsiaTheme="minorEastAsia" w:cs="Arial"/>
        </w:rPr>
        <w:t xml:space="preserve"> </w:t>
      </w:r>
      <w:r w:rsidR="00451EDB">
        <w:rPr>
          <w:rFonts w:eastAsiaTheme="minorEastAsia" w:cs="Arial"/>
        </w:rPr>
        <w:t>For example, let’s take the case of</w:t>
      </w:r>
      <w:r w:rsidR="00C8738A">
        <w:rPr>
          <w:rFonts w:eastAsiaTheme="minorEastAsia" w:cs="Arial"/>
        </w:rPr>
        <w:t xml:space="preserve"> Rel-17</w:t>
      </w:r>
      <w:r w:rsidR="00451EDB">
        <w:rPr>
          <w:rFonts w:eastAsiaTheme="minorEastAsia" w:cs="Arial"/>
        </w:rPr>
        <w:t xml:space="preserve"> PUSCH repetition</w:t>
      </w:r>
      <w:r w:rsidR="00C8738A">
        <w:rPr>
          <w:rFonts w:eastAsiaTheme="minorEastAsia" w:cs="Arial"/>
        </w:rPr>
        <w:t>s</w:t>
      </w:r>
      <w:r w:rsidR="002954EC">
        <w:rPr>
          <w:rFonts w:eastAsiaTheme="minorEastAsia" w:cs="Arial"/>
        </w:rPr>
        <w:t xml:space="preserve">, </w:t>
      </w:r>
      <w:r w:rsidR="00852729">
        <w:rPr>
          <w:rFonts w:eastAsiaTheme="minorEastAsia" w:cs="Arial"/>
        </w:rPr>
        <w:t xml:space="preserve">in which </w:t>
      </w:r>
      <w:r w:rsidR="00386BF1">
        <w:rPr>
          <w:rFonts w:eastAsiaTheme="minorEastAsia" w:cs="Arial"/>
        </w:rPr>
        <w:t xml:space="preserve">all </w:t>
      </w:r>
      <w:r w:rsidR="00852729">
        <w:rPr>
          <w:rFonts w:eastAsiaTheme="minorEastAsia" w:cs="Arial"/>
        </w:rPr>
        <w:t>repetition</w:t>
      </w:r>
      <w:r w:rsidR="00386BF1">
        <w:rPr>
          <w:rFonts w:eastAsiaTheme="minorEastAsia" w:cs="Arial"/>
        </w:rPr>
        <w:t>s</w:t>
      </w:r>
      <w:r w:rsidR="00852729">
        <w:rPr>
          <w:rFonts w:eastAsiaTheme="minorEastAsia" w:cs="Arial"/>
        </w:rPr>
        <w:t xml:space="preserve"> follow</w:t>
      </w:r>
      <w:r w:rsidR="00386BF1">
        <w:rPr>
          <w:rFonts w:eastAsiaTheme="minorEastAsia" w:cs="Arial"/>
        </w:rPr>
        <w:t xml:space="preserve"> </w:t>
      </w:r>
      <w:r w:rsidR="00852729">
        <w:rPr>
          <w:rFonts w:eastAsiaTheme="minorEastAsia" w:cs="Arial"/>
        </w:rPr>
        <w:t>the allocation of the 1</w:t>
      </w:r>
      <w:r w:rsidR="00852729" w:rsidRPr="00692A9E">
        <w:rPr>
          <w:rFonts w:eastAsiaTheme="minorEastAsia" w:cs="Arial"/>
          <w:vertAlign w:val="superscript"/>
        </w:rPr>
        <w:t>st</w:t>
      </w:r>
      <w:r w:rsidR="00852729">
        <w:rPr>
          <w:rFonts w:eastAsiaTheme="minorEastAsia" w:cs="Arial"/>
        </w:rPr>
        <w:t xml:space="preserve"> one</w:t>
      </w:r>
      <w:r w:rsidR="00386BF1">
        <w:rPr>
          <w:rFonts w:eastAsiaTheme="minorEastAsia" w:cs="Arial"/>
        </w:rPr>
        <w:t xml:space="preserve"> (allocated with full 14 symbols in the slot)</w:t>
      </w:r>
      <w:r w:rsidR="00BB7B7E">
        <w:rPr>
          <w:rFonts w:eastAsiaTheme="minorEastAsia" w:cs="Arial"/>
        </w:rPr>
        <w:t>, and</w:t>
      </w:r>
      <w:r w:rsidR="00386BF1">
        <w:rPr>
          <w:rFonts w:eastAsiaTheme="minorEastAsia" w:cs="Arial"/>
        </w:rPr>
        <w:t xml:space="preserve"> thus</w:t>
      </w:r>
      <w:r w:rsidR="00BB7B7E">
        <w:rPr>
          <w:rFonts w:eastAsiaTheme="minorEastAsia" w:cs="Arial"/>
        </w:rPr>
        <w:t xml:space="preserve"> </w:t>
      </w:r>
      <w:r w:rsidR="00C3225D">
        <w:rPr>
          <w:rFonts w:eastAsiaTheme="minorEastAsia" w:cs="Arial"/>
        </w:rPr>
        <w:t>only</w:t>
      </w:r>
      <w:r w:rsidR="00BB7B7E">
        <w:rPr>
          <w:rFonts w:eastAsiaTheme="minorEastAsia" w:cs="Arial"/>
        </w:rPr>
        <w:t xml:space="preserve"> slots</w:t>
      </w:r>
      <w:r w:rsidR="00C3225D">
        <w:rPr>
          <w:rFonts w:eastAsiaTheme="minorEastAsia" w:cs="Arial"/>
        </w:rPr>
        <w:t xml:space="preserve"> with 14 UL symbols</w:t>
      </w:r>
      <w:r w:rsidR="00BB7B7E">
        <w:rPr>
          <w:rFonts w:eastAsiaTheme="minorEastAsia" w:cs="Arial"/>
        </w:rPr>
        <w:t xml:space="preserve"> are counted</w:t>
      </w:r>
      <w:r w:rsidR="009B0AF2">
        <w:rPr>
          <w:rFonts w:eastAsiaTheme="minorEastAsia" w:cs="Arial"/>
        </w:rPr>
        <w:t xml:space="preserve"> </w:t>
      </w:r>
      <w:r w:rsidR="00C3225D">
        <w:rPr>
          <w:rFonts w:eastAsiaTheme="minorEastAsia" w:cs="Arial"/>
        </w:rPr>
        <w:t xml:space="preserve">as available </w:t>
      </w:r>
      <w:r w:rsidR="009B0AF2">
        <w:rPr>
          <w:rFonts w:eastAsiaTheme="minorEastAsia" w:cs="Arial"/>
        </w:rPr>
        <w:t xml:space="preserve">as </w:t>
      </w:r>
      <w:r w:rsidR="00386BF1">
        <w:rPr>
          <w:rFonts w:eastAsiaTheme="minorEastAsia" w:cs="Arial"/>
        </w:rPr>
        <w:t>illustrated</w:t>
      </w:r>
      <w:r w:rsidR="009B0AF2">
        <w:rPr>
          <w:rFonts w:eastAsiaTheme="minorEastAsia" w:cs="Arial"/>
        </w:rPr>
        <w:t xml:space="preserve"> i</w:t>
      </w:r>
      <w:r w:rsidR="00724EAA">
        <w:rPr>
          <w:rFonts w:eastAsiaTheme="minorEastAsia" w:cs="Arial"/>
        </w:rPr>
        <w:t xml:space="preserve">n </w:t>
      </w:r>
      <w:r w:rsidR="00386BF1">
        <w:rPr>
          <w:rFonts w:eastAsiaTheme="minorEastAsia" w:cs="Arial"/>
        </w:rPr>
        <w:fldChar w:fldCharType="begin"/>
      </w:r>
      <w:r w:rsidR="00386BF1">
        <w:rPr>
          <w:rFonts w:eastAsiaTheme="minorEastAsia" w:cs="Arial"/>
        </w:rPr>
        <w:instrText xml:space="preserve"> REF _Ref134798443 \h </w:instrText>
      </w:r>
      <w:r w:rsidR="00386BF1">
        <w:rPr>
          <w:rFonts w:eastAsiaTheme="minorEastAsia" w:cs="Arial"/>
        </w:rPr>
      </w:r>
      <w:r w:rsidR="00386BF1">
        <w:rPr>
          <w:rFonts w:eastAsiaTheme="minorEastAsia" w:cs="Arial"/>
        </w:rPr>
        <w:fldChar w:fldCharType="separate"/>
      </w:r>
      <w:r w:rsidR="00107741">
        <w:t xml:space="preserve">Figure </w:t>
      </w:r>
      <w:r w:rsidR="00386BF1">
        <w:rPr>
          <w:rFonts w:eastAsiaTheme="minorEastAsia" w:cs="Arial"/>
        </w:rPr>
        <w:fldChar w:fldCharType="end"/>
      </w:r>
      <w:r w:rsidR="00386BF1">
        <w:rPr>
          <w:rFonts w:eastAsiaTheme="minorEastAsia" w:cs="Arial"/>
        </w:rPr>
        <w:t xml:space="preserve"> </w:t>
      </w:r>
      <w:r w:rsidR="00724EAA">
        <w:rPr>
          <w:rFonts w:eastAsiaTheme="minorEastAsia" w:cs="Arial"/>
        </w:rPr>
        <w:t>below</w:t>
      </w:r>
      <w:r w:rsidR="00451EDB">
        <w:rPr>
          <w:rFonts w:eastAsiaTheme="minorEastAsia" w:cs="Arial"/>
        </w:rPr>
        <w:t>.</w:t>
      </w:r>
      <w:r w:rsidR="00CB5D8F">
        <w:rPr>
          <w:rFonts w:eastAsiaTheme="minorEastAsia" w:cs="Arial"/>
        </w:rPr>
        <w:t xml:space="preserve"> Assuming that repetitions can be mapped in slots of different types, there could still be the case in which one of these repetitions </w:t>
      </w:r>
      <w:r w:rsidR="00282FF0">
        <w:rPr>
          <w:rFonts w:eastAsiaTheme="minorEastAsia" w:cs="Arial"/>
        </w:rPr>
        <w:t xml:space="preserve">fall within </w:t>
      </w:r>
      <w:r w:rsidR="00766C63">
        <w:rPr>
          <w:rFonts w:eastAsiaTheme="minorEastAsia" w:cs="Arial"/>
        </w:rPr>
        <w:t xml:space="preserve">a </w:t>
      </w:r>
      <w:r w:rsidR="00D07610">
        <w:rPr>
          <w:rFonts w:eastAsiaTheme="minorEastAsia" w:cs="Arial"/>
        </w:rPr>
        <w:t>mixed slot</w:t>
      </w:r>
      <w:r w:rsidR="00766C63">
        <w:rPr>
          <w:rFonts w:eastAsiaTheme="minorEastAsia" w:cs="Arial"/>
        </w:rPr>
        <w:t>, which consists of SBFD and non-SBFD symbols</w:t>
      </w:r>
      <w:r w:rsidR="00347281">
        <w:rPr>
          <w:rFonts w:eastAsiaTheme="minorEastAsia" w:cs="Arial"/>
        </w:rPr>
        <w:t xml:space="preserve"> as </w:t>
      </w:r>
      <w:r w:rsidR="002C215A">
        <w:rPr>
          <w:rFonts w:eastAsiaTheme="minorEastAsia" w:cs="Arial"/>
        </w:rPr>
        <w:t>the 5</w:t>
      </w:r>
      <w:r w:rsidR="002C215A" w:rsidRPr="00692A9E">
        <w:rPr>
          <w:rFonts w:eastAsiaTheme="minorEastAsia" w:cs="Arial"/>
          <w:vertAlign w:val="superscript"/>
        </w:rPr>
        <w:t>th</w:t>
      </w:r>
      <w:r w:rsidR="002C215A">
        <w:rPr>
          <w:rFonts w:eastAsiaTheme="minorEastAsia" w:cs="Arial"/>
        </w:rPr>
        <w:t xml:space="preserve"> repetition </w:t>
      </w:r>
      <w:r w:rsidR="00347281">
        <w:rPr>
          <w:rFonts w:eastAsiaTheme="minorEastAsia" w:cs="Arial"/>
        </w:rPr>
        <w:t xml:space="preserve">in the </w:t>
      </w:r>
      <w:r w:rsidR="00CE15FD">
        <w:rPr>
          <w:rFonts w:eastAsiaTheme="minorEastAsia" w:cs="Arial"/>
        </w:rPr>
        <w:t xml:space="preserve">figure </w:t>
      </w:r>
      <w:r w:rsidR="00347281">
        <w:rPr>
          <w:rFonts w:eastAsiaTheme="minorEastAsia" w:cs="Arial"/>
        </w:rPr>
        <w:t>below:</w:t>
      </w:r>
    </w:p>
    <w:p w14:paraId="21A951C0" w14:textId="04C0990B" w:rsidR="00BA1894" w:rsidRDefault="00240FB2" w:rsidP="00E0053D">
      <w:pPr>
        <w:pStyle w:val="CommentText"/>
        <w:keepNext/>
        <w:jc w:val="center"/>
      </w:pPr>
      <w:r>
        <w:rPr>
          <w:noProof/>
        </w:rPr>
        <w:drawing>
          <wp:inline distT="0" distB="0" distL="0" distR="0" wp14:anchorId="6BBBF6DD" wp14:editId="42E03BEC">
            <wp:extent cx="4968416" cy="2632916"/>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81309" cy="2639749"/>
                    </a:xfrm>
                    <a:prstGeom prst="rect">
                      <a:avLst/>
                    </a:prstGeom>
                  </pic:spPr>
                </pic:pic>
              </a:graphicData>
            </a:graphic>
          </wp:inline>
        </w:drawing>
      </w:r>
    </w:p>
    <w:p w14:paraId="61CFE598" w14:textId="10C971ED" w:rsidR="00E34059" w:rsidRDefault="00BA1894" w:rsidP="00692A9E">
      <w:pPr>
        <w:pStyle w:val="Caption"/>
        <w:jc w:val="center"/>
        <w:rPr>
          <w:rFonts w:eastAsiaTheme="minorEastAsia" w:cs="Arial"/>
        </w:rPr>
      </w:pPr>
      <w:bookmarkStart w:id="911" w:name="_Ref134798443"/>
      <w:r>
        <w:t xml:space="preserve">Figure </w:t>
      </w:r>
      <w:r>
        <w:fldChar w:fldCharType="begin"/>
      </w:r>
      <w:r>
        <w:instrText xml:space="preserve"> SEQ Figure \* ARABIC </w:instrText>
      </w:r>
      <w:r w:rsidR="006D080B">
        <w:fldChar w:fldCharType="separate"/>
      </w:r>
      <w:r>
        <w:fldChar w:fldCharType="end"/>
      </w:r>
      <w:bookmarkEnd w:id="911"/>
      <w:r>
        <w:t xml:space="preserve"> - Example of PUSCH repetition with L = 14</w:t>
      </w:r>
    </w:p>
    <w:p w14:paraId="694855FE" w14:textId="2725172A" w:rsidR="007200BA" w:rsidRDefault="000A7135" w:rsidP="005047DA">
      <w:pPr>
        <w:pStyle w:val="CommentText"/>
        <w:jc w:val="both"/>
      </w:pPr>
      <w:r>
        <w:t>In this case,</w:t>
      </w:r>
      <w:r w:rsidR="00386BF1">
        <w:t xml:space="preserve"> several options should be considered (for the 5</w:t>
      </w:r>
      <w:r w:rsidR="00386BF1" w:rsidRPr="007A594C">
        <w:rPr>
          <w:vertAlign w:val="superscript"/>
        </w:rPr>
        <w:t>th</w:t>
      </w:r>
      <w:r w:rsidR="00386BF1">
        <w:t xml:space="preserve"> repetition) </w:t>
      </w:r>
      <w:r w:rsidR="00A64CF0">
        <w:t xml:space="preserve">to define UE behaviour </w:t>
      </w:r>
      <w:r w:rsidR="00386BF1">
        <w:t>if a transmission is not allowed to span across symbol types, namely, whether</w:t>
      </w:r>
      <w:r w:rsidR="005772B8">
        <w:t xml:space="preserve"> </w:t>
      </w:r>
      <w:r w:rsidR="00D6181A">
        <w:t>the</w:t>
      </w:r>
      <w:r w:rsidR="000C042D">
        <w:t xml:space="preserve"> mixed slot is not considered as available for the repetition</w:t>
      </w:r>
      <w:r w:rsidR="00A65846">
        <w:t>, therefore it is not counted for the repetition</w:t>
      </w:r>
      <w:r w:rsidR="00386BF1">
        <w:t xml:space="preserve"> or whether</w:t>
      </w:r>
      <w:r w:rsidR="005772B8">
        <w:t xml:space="preserve"> </w:t>
      </w:r>
      <w:r w:rsidR="00AA30AD">
        <w:t xml:space="preserve">the </w:t>
      </w:r>
      <w:r w:rsidR="000C042D">
        <w:t xml:space="preserve">UE </w:t>
      </w:r>
      <w:r w:rsidR="00214FE2">
        <w:t>consider</w:t>
      </w:r>
      <w:r w:rsidR="00AA30AD">
        <w:t>s</w:t>
      </w:r>
      <w:r w:rsidR="00214FE2">
        <w:t xml:space="preserve"> only part of the resources as available</w:t>
      </w:r>
      <w:r w:rsidR="005D088E">
        <w:t xml:space="preserve"> for the repetition (for example </w:t>
      </w:r>
      <w:r w:rsidR="00AC3E6F">
        <w:t>the</w:t>
      </w:r>
      <w:r w:rsidR="005D088E">
        <w:t xml:space="preserve"> UL </w:t>
      </w:r>
      <w:r w:rsidR="0019560B">
        <w:t>part</w:t>
      </w:r>
      <w:r w:rsidR="0042534C">
        <w:t xml:space="preserve"> of the slot</w:t>
      </w:r>
      <w:r w:rsidR="0019560B">
        <w:t>, or the SBFD part of the slot)</w:t>
      </w:r>
      <w:r w:rsidR="005E1327">
        <w:t xml:space="preserve">, or the UE </w:t>
      </w:r>
      <w:r w:rsidR="005772B8">
        <w:t>considers only</w:t>
      </w:r>
      <w:r w:rsidR="005E1327">
        <w:t xml:space="preserve"> the longest part of the slot for that repetition</w:t>
      </w:r>
      <w:r w:rsidR="005772B8">
        <w:t xml:space="preserve"> (either the UL part or the SBFD part, depending on the </w:t>
      </w:r>
      <w:r w:rsidR="007200BA">
        <w:t>number of symbols in each).</w:t>
      </w:r>
    </w:p>
    <w:p w14:paraId="7693EA94" w14:textId="77777777" w:rsidR="00511D4D" w:rsidRDefault="00511D4D" w:rsidP="008E2DA0">
      <w:pPr>
        <w:pStyle w:val="Proposal"/>
      </w:pPr>
      <w:bookmarkStart w:id="912" w:name="_Toc142466607"/>
      <w:bookmarkStart w:id="913" w:name="_Toc142481226"/>
      <w:bookmarkStart w:id="914" w:name="_Toc142482040"/>
      <w:r>
        <w:t xml:space="preserve">If a transmission is not allowed </w:t>
      </w:r>
      <w:r w:rsidRPr="00F27EDE">
        <w:t>to be mapped across SBFD and non-SBFD symbols</w:t>
      </w:r>
      <w:r>
        <w:t xml:space="preserve"> in a slot, RAN1 should further discuss UE behavior for TDRA determination for the transmission occasion that spans across symbol types in the slot, especially for semi-static PUSCH/PDSCH and PUSCH/PDSCH with repetitions and </w:t>
      </w:r>
      <w:proofErr w:type="spellStart"/>
      <w:r>
        <w:t>TBoMS</w:t>
      </w:r>
      <w:proofErr w:type="spellEnd"/>
      <w:r>
        <w:t>.</w:t>
      </w:r>
      <w:bookmarkEnd w:id="912"/>
      <w:bookmarkEnd w:id="913"/>
      <w:bookmarkEnd w:id="914"/>
    </w:p>
    <w:p w14:paraId="5775D8F7" w14:textId="7B5F71BD" w:rsidR="005F1FFE" w:rsidRDefault="005F1FFE" w:rsidP="005047DA">
      <w:pPr>
        <w:pStyle w:val="CommentText"/>
        <w:jc w:val="both"/>
      </w:pPr>
      <w:bookmarkStart w:id="915" w:name="_Toc142394828"/>
      <w:bookmarkStart w:id="916" w:name="_Toc142394920"/>
      <w:bookmarkStart w:id="917" w:name="_Toc142397666"/>
      <w:bookmarkStart w:id="918" w:name="_Toc142397764"/>
      <w:bookmarkStart w:id="919" w:name="_Toc142397971"/>
      <w:bookmarkStart w:id="920" w:name="_Toc142399698"/>
      <w:bookmarkStart w:id="921" w:name="_Toc142400784"/>
      <w:bookmarkStart w:id="922" w:name="_Toc142400882"/>
      <w:bookmarkStart w:id="923" w:name="_Toc142400980"/>
      <w:bookmarkStart w:id="924" w:name="_Toc142401090"/>
      <w:bookmarkStart w:id="925" w:name="_Toc142401263"/>
      <w:r>
        <w:rPr>
          <w:noProof/>
        </w:rPr>
        <mc:AlternateContent>
          <mc:Choice Requires="wps">
            <w:drawing>
              <wp:anchor distT="45720" distB="45720" distL="114300" distR="114300" simplePos="0" relativeHeight="251658240" behindDoc="0" locked="0" layoutInCell="1" allowOverlap="1" wp14:anchorId="3C653A77" wp14:editId="2DF8D4A3">
                <wp:simplePos x="0" y="0"/>
                <wp:positionH relativeFrom="column">
                  <wp:posOffset>-34290</wp:posOffset>
                </wp:positionH>
                <wp:positionV relativeFrom="paragraph">
                  <wp:posOffset>353060</wp:posOffset>
                </wp:positionV>
                <wp:extent cx="6151245" cy="2355215"/>
                <wp:effectExtent l="0" t="0" r="20955" b="26035"/>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245" cy="2355215"/>
                        </a:xfrm>
                        <a:prstGeom prst="rect">
                          <a:avLst/>
                        </a:prstGeom>
                        <a:solidFill>
                          <a:srgbClr val="FFFFFF"/>
                        </a:solidFill>
                        <a:ln w="9525">
                          <a:solidFill>
                            <a:srgbClr val="000000"/>
                          </a:solidFill>
                          <a:miter lim="800000"/>
                          <a:headEnd/>
                          <a:tailEnd/>
                        </a:ln>
                      </wps:spPr>
                      <wps:txbx>
                        <w:txbxContent>
                          <w:p w14:paraId="74F9D55B" w14:textId="5CEF22A0" w:rsidR="009211A7" w:rsidRDefault="009211A7" w:rsidP="009211A7">
                            <w:pPr>
                              <w:spacing w:after="120"/>
                              <w:rPr>
                                <w:rFonts w:eastAsia="Malgun Gothic"/>
                                <w:b/>
                                <w:highlight w:val="green"/>
                                <w:lang w:eastAsia="zh-CN"/>
                              </w:rPr>
                            </w:pPr>
                            <w:r w:rsidRPr="00C01173">
                              <w:rPr>
                                <w:rFonts w:eastAsia="Malgun Gothic"/>
                                <w:b/>
                                <w:highlight w:val="green"/>
                                <w:lang w:eastAsia="zh-CN"/>
                              </w:rPr>
                              <w:t>Agreement</w:t>
                            </w:r>
                          </w:p>
                          <w:p w14:paraId="2F7AE82A" w14:textId="77777777" w:rsidR="009211A7" w:rsidRPr="009A51F4" w:rsidRDefault="009211A7" w:rsidP="009211A7">
                            <w:pPr>
                              <w:rPr>
                                <w:rFonts w:eastAsia="Malgun Gothic"/>
                                <w:b/>
                                <w:lang w:eastAsia="zh-CN"/>
                              </w:rPr>
                            </w:pPr>
                            <w:r>
                              <w:rPr>
                                <w:rFonts w:eastAsia="Malgun Gothic"/>
                                <w:b/>
                                <w:lang w:eastAsia="zh-CN"/>
                              </w:rPr>
                              <w:t>The following conclusion is to be captured in the TR</w:t>
                            </w:r>
                          </w:p>
                          <w:p w14:paraId="19296083" w14:textId="77777777" w:rsidR="009211A7" w:rsidRPr="00C81CC7" w:rsidRDefault="009211A7" w:rsidP="009211A7">
                            <w:pPr>
                              <w:pStyle w:val="ListParagraph"/>
                              <w:ind w:left="0"/>
                              <w:rPr>
                                <w:rFonts w:eastAsia="Malgun Gothic"/>
                                <w:sz w:val="20"/>
                                <w:szCs w:val="20"/>
                                <w:lang w:val="en-US"/>
                              </w:rPr>
                            </w:pPr>
                            <w:r w:rsidRPr="00C81CC7">
                              <w:rPr>
                                <w:rFonts w:eastAsia="Malgun Gothic" w:hint="eastAsia"/>
                                <w:sz w:val="20"/>
                                <w:szCs w:val="20"/>
                                <w:lang w:val="en-US"/>
                              </w:rPr>
                              <w:t>For a physical channel/signal occasion mapped to SBFD and non-SBFD symbols within a slot if any, the following options for UE transmission/reception</w:t>
                            </w:r>
                            <w:r w:rsidRPr="00C81CC7">
                              <w:rPr>
                                <w:rFonts w:eastAsia="Malgun Gothic"/>
                                <w:sz w:val="20"/>
                                <w:szCs w:val="20"/>
                                <w:lang w:val="en-US"/>
                              </w:rPr>
                              <w:t xml:space="preserve"> can be considered in the normative stage</w:t>
                            </w:r>
                          </w:p>
                          <w:p w14:paraId="63683F7B" w14:textId="77777777" w:rsidR="009211A7" w:rsidRPr="00EE405C" w:rsidRDefault="009211A7" w:rsidP="009211A7">
                            <w:pPr>
                              <w:numPr>
                                <w:ilvl w:val="0"/>
                                <w:numId w:val="159"/>
                              </w:numPr>
                              <w:suppressAutoHyphens/>
                              <w:overflowPunct/>
                              <w:autoSpaceDE/>
                              <w:autoSpaceDN/>
                              <w:adjustRightInd/>
                              <w:spacing w:after="0"/>
                              <w:contextualSpacing/>
                              <w:textAlignment w:val="auto"/>
                              <w:rPr>
                                <w:rFonts w:eastAsia="Malgun Gothic"/>
                              </w:rPr>
                            </w:pPr>
                            <w:r w:rsidRPr="00EE405C">
                              <w:rPr>
                                <w:rFonts w:eastAsia="Malgun Gothic" w:hint="eastAsia"/>
                              </w:rPr>
                              <w:t>Option 1: UE does not transmit or receive the</w:t>
                            </w:r>
                            <w:r w:rsidRPr="00EE405C">
                              <w:rPr>
                                <w:rFonts w:eastAsia="Malgun Gothic"/>
                              </w:rPr>
                              <w:t xml:space="preserve"> physical channel/signal</w:t>
                            </w:r>
                            <w:r w:rsidRPr="00EE405C">
                              <w:rPr>
                                <w:rFonts w:eastAsia="Malgun Gothic" w:hint="eastAsia"/>
                              </w:rPr>
                              <w:t xml:space="preserve"> within the slot.</w:t>
                            </w:r>
                          </w:p>
                          <w:p w14:paraId="31582CDF" w14:textId="77777777" w:rsidR="009211A7" w:rsidRPr="00EE405C" w:rsidRDefault="009211A7" w:rsidP="009211A7">
                            <w:pPr>
                              <w:numPr>
                                <w:ilvl w:val="0"/>
                                <w:numId w:val="159"/>
                              </w:numPr>
                              <w:suppressAutoHyphens/>
                              <w:overflowPunct/>
                              <w:autoSpaceDE/>
                              <w:autoSpaceDN/>
                              <w:adjustRightInd/>
                              <w:spacing w:after="0"/>
                              <w:contextualSpacing/>
                              <w:textAlignment w:val="auto"/>
                              <w:rPr>
                                <w:rFonts w:eastAsia="Malgun Gothic"/>
                              </w:rPr>
                            </w:pPr>
                            <w:r w:rsidRPr="00EE405C">
                              <w:rPr>
                                <w:rFonts w:eastAsia="Malgun Gothic" w:hint="eastAsia"/>
                              </w:rPr>
                              <w:t>Option 2: UE can transmit or receive the</w:t>
                            </w:r>
                            <w:r w:rsidRPr="00EE405C">
                              <w:rPr>
                                <w:rFonts w:eastAsia="Malgun Gothic"/>
                              </w:rPr>
                              <w:t xml:space="preserve"> physical channel/signal within </w:t>
                            </w:r>
                            <w:r w:rsidRPr="00EE405C">
                              <w:rPr>
                                <w:rFonts w:eastAsia="Malgun Gothic" w:hint="eastAsia"/>
                              </w:rPr>
                              <w:t>the</w:t>
                            </w:r>
                            <w:r w:rsidRPr="00EE405C">
                              <w:rPr>
                                <w:rFonts w:eastAsia="Malgun Gothic"/>
                              </w:rPr>
                              <w:t xml:space="preserve"> slot</w:t>
                            </w:r>
                            <w:r w:rsidRPr="00EE405C">
                              <w:rPr>
                                <w:rFonts w:eastAsia="Malgun Gothic" w:hint="eastAsia"/>
                              </w:rPr>
                              <w:t xml:space="preserve"> only under certain conditions.</w:t>
                            </w:r>
                          </w:p>
                          <w:p w14:paraId="1EBE4307" w14:textId="77777777" w:rsidR="009211A7" w:rsidRDefault="009211A7" w:rsidP="009211A7">
                            <w:pPr>
                              <w:numPr>
                                <w:ilvl w:val="1"/>
                                <w:numId w:val="159"/>
                              </w:numPr>
                              <w:suppressAutoHyphens/>
                              <w:overflowPunct/>
                              <w:autoSpaceDE/>
                              <w:autoSpaceDN/>
                              <w:adjustRightInd/>
                              <w:spacing w:after="0"/>
                              <w:contextualSpacing/>
                              <w:textAlignment w:val="auto"/>
                              <w:rPr>
                                <w:rFonts w:eastAsia="Malgun Gothic"/>
                              </w:rPr>
                            </w:pPr>
                            <w:r w:rsidRPr="00EE405C">
                              <w:rPr>
                                <w:rFonts w:eastAsia="Malgun Gothic"/>
                              </w:rPr>
                              <w:t xml:space="preserve">The conditions </w:t>
                            </w:r>
                            <w:r w:rsidRPr="00EE405C">
                              <w:rPr>
                                <w:rFonts w:eastAsia="Malgun Gothic" w:hint="eastAsia"/>
                              </w:rPr>
                              <w:t xml:space="preserve">may </w:t>
                            </w:r>
                            <w:r w:rsidRPr="00EE405C">
                              <w:rPr>
                                <w:rFonts w:eastAsia="Malgun Gothic"/>
                              </w:rPr>
                              <w:t>depend on a</w:t>
                            </w:r>
                            <w:r w:rsidRPr="00EE405C">
                              <w:rPr>
                                <w:rFonts w:eastAsia="Malgun Gothic" w:hint="eastAsia"/>
                              </w:rPr>
                              <w:t xml:space="preserve">t least </w:t>
                            </w:r>
                            <w:r w:rsidRPr="00EE405C">
                              <w:rPr>
                                <w:rFonts w:eastAsia="Malgun Gothic"/>
                              </w:rPr>
                              <w:t xml:space="preserve">the following: whether or not </w:t>
                            </w:r>
                            <w:r w:rsidRPr="00EE405C">
                              <w:rPr>
                                <w:rFonts w:eastAsia="Malgun Gothic" w:hint="eastAsia"/>
                              </w:rPr>
                              <w:t>phase continuity can be maintained across SBFD and non-SBFD symbols</w:t>
                            </w:r>
                            <w:r w:rsidRPr="00EE405C">
                              <w:rPr>
                                <w:rFonts w:eastAsia="Malgun Gothic"/>
                              </w:rPr>
                              <w:t>, whether or not there are same</w:t>
                            </w:r>
                            <w:r w:rsidRPr="00EE405C">
                              <w:rPr>
                                <w:rFonts w:eastAsia="Malgun Gothic" w:hint="eastAsia"/>
                              </w:rPr>
                              <w:t xml:space="preserve"> or different transmission/reception parameters e.g. power control, spatial/QCL, UL timing etc. applied in SBFD and non-SBFD symbols,</w:t>
                            </w:r>
                            <w:r w:rsidRPr="00EE405C">
                              <w:rPr>
                                <w:rFonts w:eastAsia="Malgun Gothic"/>
                              </w:rPr>
                              <w:t xml:space="preserve"> and whether or not there is a guard period between the SBFD and non-SBFD symbols, etc.</w:t>
                            </w:r>
                          </w:p>
                          <w:p w14:paraId="39143F06" w14:textId="4E7AED51" w:rsidR="005F1FFE" w:rsidRDefault="009211A7" w:rsidP="00C81CC7">
                            <w:pPr>
                              <w:numPr>
                                <w:ilvl w:val="0"/>
                                <w:numId w:val="159"/>
                              </w:numPr>
                              <w:suppressAutoHyphens/>
                              <w:overflowPunct/>
                              <w:autoSpaceDE/>
                              <w:autoSpaceDN/>
                              <w:adjustRightInd/>
                              <w:spacing w:after="0"/>
                              <w:contextualSpacing/>
                              <w:textAlignment w:val="auto"/>
                            </w:pPr>
                            <w:r>
                              <w:rPr>
                                <w:rFonts w:eastAsia="Malgun Gothic"/>
                              </w:rPr>
                              <w:t>Other options are not precluded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653A77" id="_x0000_t202" coordsize="21600,21600" o:spt="202" path="m,l,21600r21600,l21600,xe">
                <v:stroke joinstyle="miter"/>
                <v:path gradientshapeok="t" o:connecttype="rect"/>
              </v:shapetype>
              <v:shape id="Text Box 217" o:spid="_x0000_s1026" type="#_x0000_t202" style="position:absolute;left:0;text-align:left;margin-left:-2.7pt;margin-top:27.8pt;width:484.35pt;height:185.4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">
                <v:textbox>
                  <w:txbxContent>
                    <w:p w14:paraId="74F9D55B" w14:textId="5CEF22A0" w:rsidR="009211A7" w:rsidRDefault="009211A7" w:rsidP="009211A7">
                      <w:pPr>
                        <w:spacing w:after="120"/>
                        <w:rPr>
                          <w:rFonts w:eastAsia="Malgun Gothic"/>
                          <w:b/>
                          <w:highlight w:val="green"/>
                          <w:lang w:eastAsia="zh-CN"/>
                        </w:rPr>
                      </w:pPr>
                      <w:r w:rsidRPr="00C01173">
                        <w:rPr>
                          <w:rFonts w:eastAsia="Malgun Gothic"/>
                          <w:b/>
                          <w:highlight w:val="green"/>
                          <w:lang w:eastAsia="zh-CN"/>
                        </w:rPr>
                        <w:t>Agreement</w:t>
                      </w:r>
                    </w:p>
                    <w:p w14:paraId="2F7AE82A" w14:textId="77777777" w:rsidR="009211A7" w:rsidRPr="009A51F4" w:rsidRDefault="009211A7" w:rsidP="009211A7">
                      <w:pPr>
                        <w:rPr>
                          <w:rFonts w:eastAsia="Malgun Gothic"/>
                          <w:b/>
                          <w:lang w:eastAsia="zh-CN"/>
                        </w:rPr>
                      </w:pPr>
                      <w:r>
                        <w:rPr>
                          <w:rFonts w:eastAsia="Malgun Gothic"/>
                          <w:b/>
                          <w:lang w:eastAsia="zh-CN"/>
                        </w:rPr>
                        <w:t>The following conclusion is to be captured in the TR</w:t>
                      </w:r>
                    </w:p>
                    <w:p w14:paraId="19296083" w14:textId="77777777" w:rsidR="009211A7" w:rsidRPr="00C81CC7" w:rsidRDefault="009211A7" w:rsidP="009211A7">
                      <w:pPr>
                        <w:pStyle w:val="ListParagraph"/>
                        <w:ind w:left="0"/>
                        <w:rPr>
                          <w:rFonts w:eastAsia="Malgun Gothic"/>
                          <w:sz w:val="20"/>
                          <w:szCs w:val="20"/>
                          <w:lang w:val="en-US"/>
                        </w:rPr>
                      </w:pPr>
                      <w:r w:rsidRPr="00C81CC7">
                        <w:rPr>
                          <w:rFonts w:eastAsia="Malgun Gothic" w:hint="eastAsia"/>
                          <w:sz w:val="20"/>
                          <w:szCs w:val="20"/>
                          <w:lang w:val="en-US"/>
                        </w:rPr>
                        <w:t>For a physical channel/signal occasion mapped to SBFD and non-SBFD symbols within a slot if any, the following options for UE transmission/reception</w:t>
                      </w:r>
                      <w:r w:rsidRPr="00C81CC7">
                        <w:rPr>
                          <w:rFonts w:eastAsia="Malgun Gothic"/>
                          <w:sz w:val="20"/>
                          <w:szCs w:val="20"/>
                          <w:lang w:val="en-US"/>
                        </w:rPr>
                        <w:t xml:space="preserve"> can be considered in the normative stage</w:t>
                      </w:r>
                    </w:p>
                    <w:p w14:paraId="63683F7B" w14:textId="77777777" w:rsidR="009211A7" w:rsidRPr="00EE405C" w:rsidRDefault="009211A7" w:rsidP="009211A7">
                      <w:pPr>
                        <w:numPr>
                          <w:ilvl w:val="0"/>
                          <w:numId w:val="159"/>
                        </w:numPr>
                        <w:suppressAutoHyphens/>
                        <w:overflowPunct/>
                        <w:autoSpaceDE/>
                        <w:autoSpaceDN/>
                        <w:adjustRightInd/>
                        <w:spacing w:after="0"/>
                        <w:contextualSpacing/>
                        <w:textAlignment w:val="auto"/>
                        <w:rPr>
                          <w:rFonts w:eastAsia="Malgun Gothic"/>
                        </w:rPr>
                      </w:pPr>
                      <w:r w:rsidRPr="00EE405C">
                        <w:rPr>
                          <w:rFonts w:eastAsia="Malgun Gothic" w:hint="eastAsia"/>
                        </w:rPr>
                        <w:t>Option 1: UE does not transmit or receive the</w:t>
                      </w:r>
                      <w:r w:rsidRPr="00EE405C">
                        <w:rPr>
                          <w:rFonts w:eastAsia="Malgun Gothic"/>
                        </w:rPr>
                        <w:t xml:space="preserve"> physical channel/signal</w:t>
                      </w:r>
                      <w:r w:rsidRPr="00EE405C">
                        <w:rPr>
                          <w:rFonts w:eastAsia="Malgun Gothic" w:hint="eastAsia"/>
                        </w:rPr>
                        <w:t xml:space="preserve"> within the slot.</w:t>
                      </w:r>
                    </w:p>
                    <w:p w14:paraId="31582CDF" w14:textId="77777777" w:rsidR="009211A7" w:rsidRPr="00EE405C" w:rsidRDefault="009211A7" w:rsidP="009211A7">
                      <w:pPr>
                        <w:numPr>
                          <w:ilvl w:val="0"/>
                          <w:numId w:val="159"/>
                        </w:numPr>
                        <w:suppressAutoHyphens/>
                        <w:overflowPunct/>
                        <w:autoSpaceDE/>
                        <w:autoSpaceDN/>
                        <w:adjustRightInd/>
                        <w:spacing w:after="0"/>
                        <w:contextualSpacing/>
                        <w:textAlignment w:val="auto"/>
                        <w:rPr>
                          <w:rFonts w:eastAsia="Malgun Gothic"/>
                        </w:rPr>
                      </w:pPr>
                      <w:r w:rsidRPr="00EE405C">
                        <w:rPr>
                          <w:rFonts w:eastAsia="Malgun Gothic" w:hint="eastAsia"/>
                        </w:rPr>
                        <w:t>Option 2: UE can transmit or receive the</w:t>
                      </w:r>
                      <w:r w:rsidRPr="00EE405C">
                        <w:rPr>
                          <w:rFonts w:eastAsia="Malgun Gothic"/>
                        </w:rPr>
                        <w:t xml:space="preserve"> physical channel/signal within </w:t>
                      </w:r>
                      <w:r w:rsidRPr="00EE405C">
                        <w:rPr>
                          <w:rFonts w:eastAsia="Malgun Gothic" w:hint="eastAsia"/>
                        </w:rPr>
                        <w:t>the</w:t>
                      </w:r>
                      <w:r w:rsidRPr="00EE405C">
                        <w:rPr>
                          <w:rFonts w:eastAsia="Malgun Gothic"/>
                        </w:rPr>
                        <w:t xml:space="preserve"> slot</w:t>
                      </w:r>
                      <w:r w:rsidRPr="00EE405C">
                        <w:rPr>
                          <w:rFonts w:eastAsia="Malgun Gothic" w:hint="eastAsia"/>
                        </w:rPr>
                        <w:t xml:space="preserve"> only under certain conditions.</w:t>
                      </w:r>
                    </w:p>
                    <w:p w14:paraId="1EBE4307" w14:textId="77777777" w:rsidR="009211A7" w:rsidRDefault="009211A7" w:rsidP="009211A7">
                      <w:pPr>
                        <w:numPr>
                          <w:ilvl w:val="1"/>
                          <w:numId w:val="159"/>
                        </w:numPr>
                        <w:suppressAutoHyphens/>
                        <w:overflowPunct/>
                        <w:autoSpaceDE/>
                        <w:autoSpaceDN/>
                        <w:adjustRightInd/>
                        <w:spacing w:after="0"/>
                        <w:contextualSpacing/>
                        <w:textAlignment w:val="auto"/>
                        <w:rPr>
                          <w:rFonts w:eastAsia="Malgun Gothic"/>
                        </w:rPr>
                      </w:pPr>
                      <w:r w:rsidRPr="00EE405C">
                        <w:rPr>
                          <w:rFonts w:eastAsia="Malgun Gothic"/>
                        </w:rPr>
                        <w:t xml:space="preserve">The conditions </w:t>
                      </w:r>
                      <w:r w:rsidRPr="00EE405C">
                        <w:rPr>
                          <w:rFonts w:eastAsia="Malgun Gothic" w:hint="eastAsia"/>
                        </w:rPr>
                        <w:t xml:space="preserve">may </w:t>
                      </w:r>
                      <w:r w:rsidRPr="00EE405C">
                        <w:rPr>
                          <w:rFonts w:eastAsia="Malgun Gothic"/>
                        </w:rPr>
                        <w:t>depend on a</w:t>
                      </w:r>
                      <w:r w:rsidRPr="00EE405C">
                        <w:rPr>
                          <w:rFonts w:eastAsia="Malgun Gothic" w:hint="eastAsia"/>
                        </w:rPr>
                        <w:t xml:space="preserve">t least </w:t>
                      </w:r>
                      <w:r w:rsidRPr="00EE405C">
                        <w:rPr>
                          <w:rFonts w:eastAsia="Malgun Gothic"/>
                        </w:rPr>
                        <w:t xml:space="preserve">the following: whether or not </w:t>
                      </w:r>
                      <w:r w:rsidRPr="00EE405C">
                        <w:rPr>
                          <w:rFonts w:eastAsia="Malgun Gothic" w:hint="eastAsia"/>
                        </w:rPr>
                        <w:t>phase continuity can be maintained across SBFD and non-SBFD symbols</w:t>
                      </w:r>
                      <w:r w:rsidRPr="00EE405C">
                        <w:rPr>
                          <w:rFonts w:eastAsia="Malgun Gothic"/>
                        </w:rPr>
                        <w:t>, whether or not there are same</w:t>
                      </w:r>
                      <w:r w:rsidRPr="00EE405C">
                        <w:rPr>
                          <w:rFonts w:eastAsia="Malgun Gothic" w:hint="eastAsia"/>
                        </w:rPr>
                        <w:t xml:space="preserve"> or different transmission/reception parameters e.g. power control, spatial/QCL, UL timing etc. applied in SBFD and non-SBFD symbols,</w:t>
                      </w:r>
                      <w:r w:rsidRPr="00EE405C">
                        <w:rPr>
                          <w:rFonts w:eastAsia="Malgun Gothic"/>
                        </w:rPr>
                        <w:t xml:space="preserve"> and whether or not there is a guard period between the SBFD and non-SBFD symbols, etc.</w:t>
                      </w:r>
                    </w:p>
                    <w:p w14:paraId="39143F06" w14:textId="4E7AED51" w:rsidR="005F1FFE" w:rsidRDefault="009211A7" w:rsidP="00C81CC7">
                      <w:pPr>
                        <w:numPr>
                          <w:ilvl w:val="0"/>
                          <w:numId w:val="159"/>
                        </w:numPr>
                        <w:suppressAutoHyphens/>
                        <w:overflowPunct/>
                        <w:autoSpaceDE/>
                        <w:autoSpaceDN/>
                        <w:adjustRightInd/>
                        <w:spacing w:after="0"/>
                        <w:contextualSpacing/>
                        <w:textAlignment w:val="auto"/>
                      </w:pPr>
                      <w:r>
                        <w:rPr>
                          <w:rFonts w:eastAsia="Malgun Gothic"/>
                        </w:rPr>
                        <w:t>Other options are not precluded</w:t>
                      </w:r>
                    </w:p>
                  </w:txbxContent>
                </v:textbox>
                <w10:wrap type="topAndBottom"/>
              </v:shape>
            </w:pict>
          </mc:Fallback>
        </mc:AlternateContent>
      </w:r>
      <w:r w:rsidR="00A8091E">
        <w:t xml:space="preserve">In RAN1 #113 meeting, there </w:t>
      </w:r>
      <w:r w:rsidR="00B4706B">
        <w:t>were agreement</w:t>
      </w:r>
      <w:r w:rsidR="002D6390">
        <w:t xml:space="preserve"> as b</w:t>
      </w:r>
      <w:r w:rsidR="00013244">
        <w:t>e</w:t>
      </w:r>
      <w:r w:rsidR="002D6390">
        <w:t xml:space="preserve">low to </w:t>
      </w:r>
      <w:r w:rsidR="00311F86">
        <w:t xml:space="preserve">provide candidate options for </w:t>
      </w:r>
      <w:r w:rsidR="00D84918">
        <w:t>a physical channel/signal mapped on SBFD and non</w:t>
      </w:r>
      <w:r w:rsidR="00194D46">
        <w:t>-SBFD symbols within a slot.</w:t>
      </w:r>
    </w:p>
    <w:p w14:paraId="6A714348" w14:textId="1BDD3EFD" w:rsidR="009211A7" w:rsidRDefault="00194D46" w:rsidP="005047DA">
      <w:pPr>
        <w:pStyle w:val="CommentText"/>
        <w:jc w:val="both"/>
      </w:pPr>
      <w:r>
        <w:t>Actually, there is one more option</w:t>
      </w:r>
      <w:r w:rsidR="00D571CD">
        <w:t xml:space="preserve">, </w:t>
      </w:r>
      <w:proofErr w:type="gramStart"/>
      <w:r w:rsidR="00D571CD">
        <w:t>i.e.</w:t>
      </w:r>
      <w:proofErr w:type="gramEnd"/>
      <w:r w:rsidR="00D571CD">
        <w:t xml:space="preserve"> </w:t>
      </w:r>
      <w:r w:rsidR="00FD0F17">
        <w:t xml:space="preserve">a physical channel/signal occasion </w:t>
      </w:r>
      <w:r w:rsidR="003F574D">
        <w:t xml:space="preserve">only mapped to </w:t>
      </w:r>
      <w:r w:rsidR="001A023D">
        <w:t>either</w:t>
      </w:r>
      <w:r w:rsidR="003F574D">
        <w:t xml:space="preserve"> SBFD or non-SBFD symbol </w:t>
      </w:r>
      <w:r w:rsidR="00145B9B">
        <w:t xml:space="preserve">within a slot covering two types of symbols. In this option, </w:t>
      </w:r>
      <w:r w:rsidR="00675245">
        <w:t>the condition</w:t>
      </w:r>
      <w:r w:rsidR="00511D4D">
        <w:t xml:space="preserve"> needed for option 2 will be no more limitation for the channel/signal transmission</w:t>
      </w:r>
      <w:r w:rsidR="00986AE2">
        <w:t xml:space="preserve">, which will provide easier </w:t>
      </w:r>
      <w:r w:rsidR="006422BF">
        <w:t xml:space="preserve">chance to </w:t>
      </w:r>
      <w:r w:rsidR="00693D67">
        <w:t xml:space="preserve">transmit </w:t>
      </w:r>
      <w:r w:rsidR="001D3A5C">
        <w:t xml:space="preserve">in </w:t>
      </w:r>
      <w:r w:rsidR="00F237BE">
        <w:t xml:space="preserve">the slot covering two types of symbols and </w:t>
      </w:r>
      <w:r w:rsidR="00F12A39">
        <w:t xml:space="preserve">provide </w:t>
      </w:r>
      <w:r w:rsidR="00AA3577">
        <w:t>flexibility</w:t>
      </w:r>
      <w:r w:rsidR="00511D4D">
        <w:t>.</w:t>
      </w:r>
    </w:p>
    <w:p w14:paraId="7E4722A6" w14:textId="3281A7BE" w:rsidR="002E2371" w:rsidRPr="001A023D" w:rsidRDefault="00261730" w:rsidP="00C81CC7">
      <w:pPr>
        <w:pStyle w:val="Proposal"/>
      </w:pPr>
      <w:bookmarkStart w:id="926" w:name="_Toc142481227"/>
      <w:bookmarkStart w:id="927" w:name="_Toc142482041"/>
      <w:r w:rsidRPr="001A023D">
        <w:t xml:space="preserve">For a slot </w:t>
      </w:r>
      <w:r w:rsidR="00790ECF" w:rsidRPr="001A023D">
        <w:t xml:space="preserve">covering both </w:t>
      </w:r>
      <w:r w:rsidR="0006629B" w:rsidRPr="001A023D">
        <w:t xml:space="preserve">SBFD symbol and non-SBFD symbol, RAN1 should also consider the option that </w:t>
      </w:r>
      <w:r w:rsidR="0030144A" w:rsidRPr="001A023D">
        <w:rPr>
          <w:rFonts w:eastAsia="Malgun Gothic"/>
        </w:rPr>
        <w:t>UE can transmit or receive the physical channel/signal only in SBFD or non-SBFD symbol.</w:t>
      </w:r>
      <w:bookmarkEnd w:id="926"/>
      <w:bookmarkEnd w:id="927"/>
      <w:r w:rsidR="0006629B" w:rsidRPr="001A023D">
        <w:t xml:space="preserve"> </w:t>
      </w:r>
    </w:p>
    <w:bookmarkEnd w:id="915"/>
    <w:bookmarkEnd w:id="916"/>
    <w:bookmarkEnd w:id="917"/>
    <w:bookmarkEnd w:id="918"/>
    <w:bookmarkEnd w:id="919"/>
    <w:bookmarkEnd w:id="920"/>
    <w:bookmarkEnd w:id="921"/>
    <w:bookmarkEnd w:id="922"/>
    <w:bookmarkEnd w:id="923"/>
    <w:bookmarkEnd w:id="924"/>
    <w:bookmarkEnd w:id="925"/>
    <w:p w14:paraId="0A6CBB15" w14:textId="0E1B98CC" w:rsidR="00357185" w:rsidRDefault="00357185" w:rsidP="001E7186">
      <w:pPr>
        <w:pStyle w:val="Heading4"/>
        <w:rPr>
          <w:lang w:val="en-US"/>
        </w:rPr>
      </w:pPr>
      <w:r w:rsidRPr="00357185">
        <w:rPr>
          <w:lang w:val="en-US"/>
        </w:rPr>
        <w:t>UL transmissions and DL receptions across SBFD symbols and non-SBFD symbols in different slots</w:t>
      </w:r>
    </w:p>
    <w:p w14:paraId="787EB1D4" w14:textId="77777777" w:rsidR="007B2810" w:rsidRDefault="007B2810" w:rsidP="001C18DB"/>
    <w:p w14:paraId="67F4904D" w14:textId="616BFAE7" w:rsidR="009E2E76" w:rsidRPr="009E2E76" w:rsidRDefault="00267E80" w:rsidP="001C18DB">
      <w:r>
        <w:t xml:space="preserve"> In </w:t>
      </w:r>
      <w:r w:rsidR="009E2E76">
        <w:t>RAN</w:t>
      </w:r>
      <w:r w:rsidR="006A2171">
        <w:t>1</w:t>
      </w:r>
      <w:r w:rsidR="009E2E76">
        <w:t>#112</w:t>
      </w:r>
      <w:r w:rsidR="006A2171">
        <w:t xml:space="preserve"> and RAN1 #112bis-e</w:t>
      </w:r>
      <w:r w:rsidR="0084473D">
        <w:t xml:space="preserve"> the following has been agreed</w:t>
      </w:r>
      <w:r w:rsidR="001B34E0">
        <w:t>:</w:t>
      </w:r>
    </w:p>
    <w:tbl>
      <w:tblPr>
        <w:tblStyle w:val="TableGrid"/>
        <w:tblW w:w="0" w:type="auto"/>
        <w:tblLook w:val="04A0" w:firstRow="1" w:lastRow="0" w:firstColumn="1" w:lastColumn="0" w:noHBand="0" w:noVBand="1"/>
      </w:tblPr>
      <w:tblGrid>
        <w:gridCol w:w="9629"/>
      </w:tblGrid>
      <w:tr w:rsidR="00A77BEF" w14:paraId="384B943A" w14:textId="77777777" w:rsidTr="007479F2">
        <w:tc>
          <w:tcPr>
            <w:tcW w:w="9629" w:type="dxa"/>
          </w:tcPr>
          <w:p w14:paraId="7B912D20" w14:textId="77777777" w:rsidR="003321C6" w:rsidRDefault="003321C6" w:rsidP="00535853">
            <w:pPr>
              <w:spacing w:after="0"/>
              <w:ind w:left="540"/>
              <w:rPr>
                <w:rFonts w:ascii="Times" w:eastAsia="Times New Roman" w:hAnsi="Times" w:cs="Times"/>
                <w:b/>
                <w:highlight w:val="green"/>
              </w:rPr>
            </w:pPr>
            <w:r>
              <w:rPr>
                <w:rFonts w:ascii="Times" w:eastAsia="Times New Roman" w:hAnsi="Times" w:cs="Times"/>
                <w:b/>
                <w:highlight w:val="green"/>
              </w:rPr>
              <w:t>RAN1 #112</w:t>
            </w:r>
          </w:p>
          <w:p w14:paraId="26C51FD9" w14:textId="77777777" w:rsidR="00CE73B0" w:rsidRPr="00CE73B0" w:rsidRDefault="00CE73B0" w:rsidP="00CE73B0">
            <w:pPr>
              <w:overflowPunct/>
              <w:autoSpaceDE/>
              <w:autoSpaceDN/>
              <w:adjustRightInd/>
              <w:spacing w:after="0"/>
              <w:ind w:left="540"/>
              <w:textAlignment w:val="auto"/>
              <w:rPr>
                <w:rFonts w:ascii="Times" w:eastAsia="Times New Roman" w:hAnsi="Times" w:cs="Times"/>
              </w:rPr>
            </w:pPr>
            <w:r w:rsidRPr="00CE73B0">
              <w:rPr>
                <w:rFonts w:ascii="Times" w:eastAsia="Times New Roman" w:hAnsi="Times" w:cs="Times"/>
                <w:b/>
                <w:highlight w:val="green"/>
              </w:rPr>
              <w:t>Agreement</w:t>
            </w:r>
          </w:p>
          <w:p w14:paraId="73638472" w14:textId="77777777" w:rsidR="00CE73B0" w:rsidRPr="00CE73B0" w:rsidRDefault="00CE73B0" w:rsidP="00CE73B0">
            <w:pPr>
              <w:overflowPunct/>
              <w:autoSpaceDE/>
              <w:autoSpaceDN/>
              <w:adjustRightInd/>
              <w:spacing w:after="0"/>
              <w:ind w:left="540"/>
              <w:textAlignment w:val="auto"/>
              <w:rPr>
                <w:rFonts w:ascii="Times" w:eastAsia="Times New Roman" w:hAnsi="Times" w:cs="Times"/>
              </w:rPr>
            </w:pPr>
            <w:r w:rsidRPr="00CE73B0">
              <w:rPr>
                <w:rFonts w:ascii="Times" w:eastAsia="Times New Roman" w:hAnsi="Times" w:cs="Times"/>
              </w:rPr>
              <w:t>For UL transmissions and DL receptions across SBFD symbols and non-SBFD symbols in different slots (each transmission/reception within a slot has either all SBFD or all non-SBFD symbols)</w:t>
            </w:r>
          </w:p>
          <w:p w14:paraId="4BDD0798" w14:textId="77777777" w:rsidR="00CE73B0" w:rsidRPr="00CE73B0" w:rsidRDefault="00CE73B0" w:rsidP="00CE73B0">
            <w:pPr>
              <w:numPr>
                <w:ilvl w:val="0"/>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Study the following options for SBFD-aware UEs:</w:t>
            </w:r>
          </w:p>
          <w:p w14:paraId="7979278F"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Option 1: The transmissions/receptions are restricted to SBFD symbols only or non-SBFD symbols only</w:t>
            </w:r>
          </w:p>
          <w:p w14:paraId="37EF94E2"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Option 2: The transmissions/receptions can be in SBFD symbols and non-SBFD symbols</w:t>
            </w:r>
          </w:p>
          <w:p w14:paraId="7D2F665C" w14:textId="77777777" w:rsidR="00CE73B0" w:rsidRPr="00CE73B0" w:rsidRDefault="00CE73B0" w:rsidP="00CE73B0">
            <w:pPr>
              <w:numPr>
                <w:ilvl w:val="0"/>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UL transmissions and DL receptions across SBFD symbols and non-SBFD symbols include the following:</w:t>
            </w:r>
          </w:p>
          <w:p w14:paraId="1E76C379"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PDSCH/PUSCH/PUCCH repetitions</w:t>
            </w:r>
          </w:p>
          <w:p w14:paraId="4D35A9BC"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SPS PDSCH/CG PUSCH</w:t>
            </w:r>
          </w:p>
          <w:p w14:paraId="1EBD74A7"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proofErr w:type="spellStart"/>
            <w:r w:rsidRPr="00CE73B0">
              <w:rPr>
                <w:rFonts w:ascii="Times" w:eastAsia="Times New Roman" w:hAnsi="Times" w:cs="Times"/>
              </w:rPr>
              <w:t>TBoMS</w:t>
            </w:r>
            <w:proofErr w:type="spellEnd"/>
          </w:p>
          <w:p w14:paraId="6530FEF6"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Multi-PUSCH/PDSCH scheduled by a single DCI</w:t>
            </w:r>
          </w:p>
          <w:p w14:paraId="23B20A78"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Periodic/semi-persistent SRS/CSI-RS/PUCCH</w:t>
            </w:r>
          </w:p>
          <w:p w14:paraId="0048750A" w14:textId="77777777" w:rsidR="00CE73B0" w:rsidRPr="00CE73B0" w:rsidRDefault="00CE73B0" w:rsidP="00CE73B0">
            <w:pPr>
              <w:numPr>
                <w:ilvl w:val="1"/>
                <w:numId w:val="135"/>
              </w:numPr>
              <w:overflowPunct/>
              <w:autoSpaceDE/>
              <w:autoSpaceDN/>
              <w:adjustRightInd/>
              <w:spacing w:after="0"/>
              <w:textAlignment w:val="center"/>
              <w:rPr>
                <w:rFonts w:ascii="Calibri" w:eastAsia="Times New Roman" w:hAnsi="Calibri" w:cs="Calibri"/>
                <w:sz w:val="22"/>
                <w:szCs w:val="22"/>
              </w:rPr>
            </w:pPr>
            <w:r w:rsidRPr="00CE73B0">
              <w:rPr>
                <w:rFonts w:ascii="Times" w:eastAsia="Times New Roman" w:hAnsi="Times" w:cs="Times"/>
              </w:rPr>
              <w:t>PDCCH</w:t>
            </w:r>
          </w:p>
          <w:p w14:paraId="2C3A6007" w14:textId="77777777" w:rsidR="00CE73B0" w:rsidRDefault="00CE73B0" w:rsidP="00535853">
            <w:pPr>
              <w:spacing w:after="0"/>
              <w:ind w:left="540"/>
              <w:rPr>
                <w:rFonts w:ascii="Times" w:eastAsia="Times New Roman" w:hAnsi="Times" w:cs="Times"/>
                <w:b/>
                <w:highlight w:val="green"/>
              </w:rPr>
            </w:pPr>
          </w:p>
          <w:p w14:paraId="36AD41F6" w14:textId="77777777" w:rsidR="003321C6" w:rsidRDefault="003321C6" w:rsidP="00535853">
            <w:pPr>
              <w:spacing w:after="0"/>
              <w:ind w:left="540"/>
              <w:rPr>
                <w:rFonts w:ascii="Times" w:eastAsia="Times New Roman" w:hAnsi="Times" w:cs="Times"/>
                <w:b/>
                <w:highlight w:val="green"/>
              </w:rPr>
            </w:pPr>
          </w:p>
          <w:p w14:paraId="588888C6" w14:textId="77777777" w:rsidR="003321C6" w:rsidRDefault="003321C6" w:rsidP="00535853">
            <w:pPr>
              <w:spacing w:after="0"/>
              <w:ind w:left="540"/>
              <w:rPr>
                <w:rFonts w:ascii="Times" w:eastAsia="Times New Roman" w:hAnsi="Times" w:cs="Times"/>
                <w:b/>
                <w:highlight w:val="green"/>
              </w:rPr>
            </w:pPr>
            <w:r>
              <w:rPr>
                <w:rFonts w:ascii="Times" w:eastAsia="Times New Roman" w:hAnsi="Times" w:cs="Times"/>
                <w:b/>
                <w:highlight w:val="green"/>
              </w:rPr>
              <w:t>RAN1 #112bis-e</w:t>
            </w:r>
          </w:p>
          <w:p w14:paraId="79D11D50" w14:textId="77777777" w:rsidR="003321C6" w:rsidRDefault="003321C6" w:rsidP="00535853">
            <w:pPr>
              <w:spacing w:after="0"/>
              <w:ind w:left="540"/>
              <w:rPr>
                <w:rFonts w:ascii="Times" w:eastAsia="Times New Roman" w:hAnsi="Times" w:cs="Times"/>
                <w:b/>
                <w:highlight w:val="green"/>
              </w:rPr>
            </w:pPr>
          </w:p>
          <w:p w14:paraId="0E466EBC" w14:textId="579B3F1D" w:rsidR="00535853" w:rsidRPr="00362B37" w:rsidRDefault="00535853" w:rsidP="00535853">
            <w:pPr>
              <w:spacing w:after="0"/>
              <w:ind w:left="540"/>
              <w:rPr>
                <w:rFonts w:ascii="Times" w:eastAsia="Times New Roman" w:hAnsi="Times" w:cs="Times"/>
              </w:rPr>
            </w:pPr>
            <w:r w:rsidRPr="00362B37">
              <w:rPr>
                <w:rFonts w:ascii="Times" w:eastAsia="Times New Roman" w:hAnsi="Times" w:cs="Times"/>
                <w:b/>
                <w:highlight w:val="green"/>
              </w:rPr>
              <w:t>Agreement</w:t>
            </w:r>
          </w:p>
          <w:p w14:paraId="3F12E2CF" w14:textId="77777777" w:rsidR="00535853" w:rsidRPr="00362B37" w:rsidRDefault="00535853" w:rsidP="00535853">
            <w:pPr>
              <w:spacing w:after="0"/>
              <w:ind w:left="540"/>
              <w:rPr>
                <w:rFonts w:ascii="Times" w:eastAsia="Times New Roman" w:hAnsi="Times" w:cs="Times"/>
              </w:rPr>
            </w:pPr>
            <w:r w:rsidRPr="00362B37">
              <w:rPr>
                <w:rFonts w:ascii="Times" w:eastAsia="Times New Roman" w:hAnsi="Times" w:cs="Times"/>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study at least the following frequency resource allocation options for PDSCH, CSI-RS, PUSCH, PUCCH, SRS for SBFD-aware UE:</w:t>
            </w:r>
          </w:p>
          <w:p w14:paraId="52940819" w14:textId="77777777" w:rsidR="00535853" w:rsidRPr="00362B37" w:rsidRDefault="00535853" w:rsidP="00535853">
            <w:pPr>
              <w:numPr>
                <w:ilvl w:val="0"/>
                <w:numId w:val="105"/>
              </w:numPr>
              <w:spacing w:after="0"/>
              <w:textAlignment w:val="center"/>
              <w:rPr>
                <w:rFonts w:ascii="Calibri" w:eastAsia="Times New Roman" w:hAnsi="Calibri" w:cs="Calibri"/>
              </w:rPr>
            </w:pPr>
            <w:r w:rsidRPr="00362B37">
              <w:rPr>
                <w:rFonts w:ascii="Times" w:eastAsia="Times New Roman" w:hAnsi="Times" w:cs="Times"/>
              </w:rPr>
              <w:t xml:space="preserve">Option 1: Separate FDRA determination for SBFD slots and non-SBFD slots. </w:t>
            </w:r>
          </w:p>
          <w:p w14:paraId="14078C50" w14:textId="77777777" w:rsidR="00535853" w:rsidRPr="00362B37" w:rsidRDefault="00535853" w:rsidP="00535853">
            <w:pPr>
              <w:numPr>
                <w:ilvl w:val="0"/>
                <w:numId w:val="106"/>
              </w:numPr>
              <w:spacing w:after="0"/>
              <w:textAlignment w:val="center"/>
              <w:rPr>
                <w:rFonts w:ascii="Calibri" w:eastAsia="Times New Roman" w:hAnsi="Calibri" w:cs="Calibri"/>
              </w:rPr>
            </w:pPr>
            <w:r w:rsidRPr="00362B37">
              <w:rPr>
                <w:rFonts w:ascii="Times" w:eastAsia="Times New Roman" w:hAnsi="Times" w:cs="Times"/>
              </w:rPr>
              <w:t>Option 1-1: Separate FDRA configurations/indications for SBFD slots and non-SBFD slots</w:t>
            </w:r>
          </w:p>
          <w:p w14:paraId="009E9BC1" w14:textId="77777777" w:rsidR="00535853" w:rsidRPr="00362B37" w:rsidRDefault="00535853" w:rsidP="00535853">
            <w:pPr>
              <w:numPr>
                <w:ilvl w:val="0"/>
                <w:numId w:val="106"/>
              </w:numPr>
              <w:spacing w:after="0"/>
              <w:textAlignment w:val="center"/>
              <w:rPr>
                <w:rFonts w:ascii="Calibri" w:eastAsia="Times New Roman" w:hAnsi="Calibri" w:cs="Calibri"/>
              </w:rPr>
            </w:pPr>
            <w:r w:rsidRPr="00362B37">
              <w:rPr>
                <w:rFonts w:ascii="Times" w:eastAsia="Times New Roman" w:hAnsi="Times" w:cs="Times"/>
              </w:rPr>
              <w:t xml:space="preserve">Option 1-2: Separate frequency resources determined for SBFD slots and non-SBFD slots based on single FDRA configuration/indication </w:t>
            </w:r>
          </w:p>
          <w:p w14:paraId="5FC9E18D" w14:textId="22433A3F" w:rsidR="00535853" w:rsidRPr="00362B37" w:rsidRDefault="00535853" w:rsidP="00535853">
            <w:pPr>
              <w:numPr>
                <w:ilvl w:val="0"/>
                <w:numId w:val="106"/>
              </w:numPr>
              <w:spacing w:after="0"/>
              <w:textAlignment w:val="center"/>
              <w:rPr>
                <w:rFonts w:ascii="Calibri" w:eastAsia="Times New Roman" w:hAnsi="Calibri" w:cs="Calibri"/>
              </w:rPr>
            </w:pPr>
            <w:r w:rsidRPr="00362B37">
              <w:rPr>
                <w:rFonts w:ascii="Times" w:eastAsia="Times New Roman" w:hAnsi="Times" w:cs="Times"/>
              </w:rPr>
              <w:t>Option 1-3: single FDRA configuration/indication and RB offset(s)</w:t>
            </w:r>
          </w:p>
          <w:p w14:paraId="5EDEBF08" w14:textId="77777777" w:rsidR="00535853" w:rsidRPr="00362B37" w:rsidRDefault="00535853" w:rsidP="00535853">
            <w:pPr>
              <w:numPr>
                <w:ilvl w:val="0"/>
                <w:numId w:val="107"/>
              </w:numPr>
              <w:spacing w:after="0"/>
              <w:textAlignment w:val="center"/>
              <w:rPr>
                <w:rFonts w:ascii="Calibri" w:eastAsia="Times New Roman" w:hAnsi="Calibri" w:cs="Calibri"/>
              </w:rPr>
            </w:pPr>
            <w:r w:rsidRPr="00362B37">
              <w:rPr>
                <w:rFonts w:ascii="Times" w:eastAsia="Times New Roman" w:hAnsi="Times" w:cs="Times"/>
              </w:rPr>
              <w:t xml:space="preserve">Option 2: Perform rate matching or puncturing on the RBs outside DL/UL subbands for DL/UL channels/signals. </w:t>
            </w:r>
          </w:p>
          <w:p w14:paraId="22536EEC" w14:textId="77777777" w:rsidR="00535853" w:rsidRPr="00362B37" w:rsidRDefault="00535853" w:rsidP="00535853">
            <w:pPr>
              <w:numPr>
                <w:ilvl w:val="0"/>
                <w:numId w:val="107"/>
              </w:numPr>
              <w:spacing w:after="0"/>
              <w:textAlignment w:val="center"/>
              <w:rPr>
                <w:rFonts w:ascii="Calibri" w:eastAsia="Times New Roman" w:hAnsi="Calibri" w:cs="Calibri"/>
              </w:rPr>
            </w:pPr>
            <w:r w:rsidRPr="00362B37">
              <w:rPr>
                <w:rFonts w:ascii="Times" w:eastAsia="Times New Roman" w:hAnsi="Times" w:cs="Times"/>
              </w:rPr>
              <w:t>Option 3: A DL/UL channel/signal overlapping with RBs outside DL/UL subbands in a SBFD slot is dropped or postponed.</w:t>
            </w:r>
          </w:p>
          <w:p w14:paraId="75D3257A" w14:textId="77777777" w:rsidR="00535853" w:rsidRPr="00362B37" w:rsidRDefault="00535853" w:rsidP="00535853">
            <w:pPr>
              <w:spacing w:after="0"/>
              <w:ind w:left="540"/>
              <w:rPr>
                <w:rFonts w:ascii="Times" w:eastAsia="Times New Roman" w:hAnsi="Times" w:cs="Times"/>
              </w:rPr>
            </w:pPr>
            <w:r w:rsidRPr="00362B37">
              <w:rPr>
                <w:rFonts w:ascii="Times" w:eastAsia="Times New Roman" w:hAnsi="Times" w:cs="Times"/>
              </w:rPr>
              <w:t>Note: Different options can be studied for different signals/channels.</w:t>
            </w:r>
          </w:p>
          <w:p w14:paraId="60BD0449" w14:textId="77777777" w:rsidR="00535853" w:rsidRDefault="00535853" w:rsidP="00D25B86">
            <w:pPr>
              <w:jc w:val="both"/>
              <w:rPr>
                <w:rFonts w:eastAsia="Malgun Gothic" w:cs="Times"/>
                <w:b/>
                <w:highlight w:val="green"/>
                <w:lang w:eastAsia="zh-CN"/>
              </w:rPr>
            </w:pPr>
          </w:p>
          <w:p w14:paraId="31301CD1" w14:textId="77777777" w:rsidR="00F35341" w:rsidRPr="00362B37" w:rsidRDefault="00F35341" w:rsidP="00F35341">
            <w:pPr>
              <w:spacing w:after="0"/>
              <w:ind w:left="540"/>
              <w:rPr>
                <w:rFonts w:ascii="Times" w:eastAsia="Times New Roman" w:hAnsi="Times" w:cs="Times"/>
              </w:rPr>
            </w:pPr>
            <w:r w:rsidRPr="00362B37">
              <w:rPr>
                <w:rFonts w:ascii="Times" w:eastAsia="Times New Roman" w:hAnsi="Times" w:cs="Times"/>
                <w:b/>
              </w:rPr>
              <w:t>Conclusion</w:t>
            </w:r>
          </w:p>
          <w:p w14:paraId="1DCE396C" w14:textId="77777777" w:rsidR="00F35341" w:rsidRPr="00362B37" w:rsidRDefault="00F35341" w:rsidP="00F35341">
            <w:pPr>
              <w:spacing w:after="0"/>
              <w:ind w:left="540"/>
              <w:rPr>
                <w:rFonts w:ascii="Times" w:eastAsia="Times New Roman" w:hAnsi="Times" w:cs="Times"/>
              </w:rPr>
            </w:pPr>
            <w:r w:rsidRPr="00362B37">
              <w:rPr>
                <w:rFonts w:ascii="Times" w:eastAsia="Times New Roman" w:hAnsi="Times" w:cs="Times"/>
              </w:rPr>
              <w:t>For the two options agreed in RAN1#112 for UL transmissions and DL receptions across SBFD symbols and non-SBFD symbols in different slots (each transmission/reception within a slot has either all SBFD or all non-SBFD symbols), the following observations are agreed.</w:t>
            </w:r>
          </w:p>
          <w:p w14:paraId="0B7DA041" w14:textId="77777777" w:rsidR="00F35341" w:rsidRPr="00362B37" w:rsidRDefault="00F35341" w:rsidP="00F35341">
            <w:pPr>
              <w:numPr>
                <w:ilvl w:val="0"/>
                <w:numId w:val="96"/>
              </w:numPr>
              <w:spacing w:after="0"/>
              <w:textAlignment w:val="center"/>
              <w:rPr>
                <w:rFonts w:ascii="Calibri" w:eastAsia="Times New Roman" w:hAnsi="Calibri" w:cs="Calibri"/>
              </w:rPr>
            </w:pPr>
            <w:r w:rsidRPr="00362B37">
              <w:rPr>
                <w:rFonts w:ascii="Times" w:eastAsia="Times New Roman" w:hAnsi="Times" w:cs="Times"/>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6D79A40B" w14:textId="77777777" w:rsidR="00F35341" w:rsidRPr="00362B37" w:rsidRDefault="00F35341" w:rsidP="00F35341">
            <w:pPr>
              <w:numPr>
                <w:ilvl w:val="0"/>
                <w:numId w:val="96"/>
              </w:numPr>
              <w:spacing w:after="0"/>
              <w:textAlignment w:val="center"/>
              <w:rPr>
                <w:rFonts w:ascii="Calibri" w:eastAsia="Times New Roman" w:hAnsi="Calibri" w:cs="Calibri"/>
              </w:rPr>
            </w:pPr>
            <w:r w:rsidRPr="00362B37">
              <w:rPr>
                <w:rFonts w:ascii="Times" w:eastAsia="Times New Roman" w:hAnsi="Times" w:cs="Times"/>
              </w:rPr>
              <w:t>The frequency resources, power control and beam/spatial relation for all the transmission/reception occasions can be the same for Option 1 but may be different for Option 2. If different, it may require additional specification efforts.</w:t>
            </w:r>
          </w:p>
          <w:p w14:paraId="6E97304E" w14:textId="77777777" w:rsidR="00F35341" w:rsidRPr="00362B37" w:rsidRDefault="00F35341" w:rsidP="00F35341">
            <w:pPr>
              <w:numPr>
                <w:ilvl w:val="0"/>
                <w:numId w:val="96"/>
              </w:numPr>
              <w:spacing w:after="0"/>
              <w:textAlignment w:val="center"/>
              <w:rPr>
                <w:rFonts w:ascii="Calibri" w:eastAsia="Times New Roman" w:hAnsi="Calibri" w:cs="Calibri"/>
              </w:rPr>
            </w:pPr>
            <w:r w:rsidRPr="00362B37">
              <w:rPr>
                <w:rFonts w:ascii="Times" w:eastAsia="Times New Roman" w:hAnsi="Times" w:cs="Times"/>
              </w:rPr>
              <w:t>Option 1 may or may not 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4C9780AF" w14:textId="77777777" w:rsidR="00F35341" w:rsidRDefault="00F35341" w:rsidP="00D25B86">
            <w:pPr>
              <w:jc w:val="both"/>
              <w:rPr>
                <w:rFonts w:eastAsia="Malgun Gothic" w:cs="Times"/>
                <w:b/>
                <w:highlight w:val="green"/>
                <w:lang w:eastAsia="zh-CN"/>
              </w:rPr>
            </w:pPr>
          </w:p>
          <w:p w14:paraId="4055414A" w14:textId="6EC7685F" w:rsidR="007479F2" w:rsidRDefault="007479F2" w:rsidP="002C2738">
            <w:pPr>
              <w:pStyle w:val="2"/>
              <w:numPr>
                <w:ilvl w:val="1"/>
                <w:numId w:val="41"/>
              </w:numPr>
              <w:spacing w:after="0"/>
            </w:pPr>
          </w:p>
        </w:tc>
      </w:tr>
    </w:tbl>
    <w:p w14:paraId="14C98BFB" w14:textId="77777777" w:rsidR="007479F2" w:rsidRDefault="007479F2" w:rsidP="00A77BEF"/>
    <w:p w14:paraId="2028A63B" w14:textId="57C37FF6" w:rsidR="007E729C" w:rsidRDefault="00FE6224" w:rsidP="005047DA">
      <w:pPr>
        <w:jc w:val="both"/>
      </w:pPr>
      <w:r w:rsidRPr="008A203A">
        <w:t>W</w:t>
      </w:r>
      <w:r w:rsidR="000D348F" w:rsidRPr="008A203A">
        <w:t>e first address the agreement</w:t>
      </w:r>
      <w:r w:rsidR="00595E0E">
        <w:t xml:space="preserve"> from RAN1#112</w:t>
      </w:r>
      <w:r w:rsidR="000D348F" w:rsidRPr="008A203A">
        <w:t xml:space="preserve"> related to </w:t>
      </w:r>
      <w:r w:rsidR="00CF6E99" w:rsidRPr="008A203A">
        <w:t xml:space="preserve">whether UL transmissions or DL receptions are restricted to SBFD symbols or non-SBFD symbols only. </w:t>
      </w:r>
      <w:r w:rsidR="00186A60" w:rsidRPr="008A203A">
        <w:t xml:space="preserve">In our view, there are advantages of </w:t>
      </w:r>
      <w:r w:rsidR="007B2EA4" w:rsidRPr="008A203A">
        <w:t>not restricting transmissions/receptions to slot</w:t>
      </w:r>
      <w:r w:rsidR="00AD02D1" w:rsidRPr="008A203A">
        <w:t>s</w:t>
      </w:r>
      <w:r w:rsidR="007B2EA4" w:rsidRPr="008A203A">
        <w:t xml:space="preserve"> of the same type. </w:t>
      </w:r>
      <w:r w:rsidR="009B38C0" w:rsidRPr="008A203A">
        <w:t xml:space="preserve">SBFD symbols are subject to different interference conditions </w:t>
      </w:r>
      <w:r w:rsidR="00D32B4D" w:rsidRPr="008A203A">
        <w:t>than non-SBFD symbols</w:t>
      </w:r>
      <w:r w:rsidR="00AD02D1" w:rsidRPr="008A203A">
        <w:t xml:space="preserve">, and non-SBFD symbols are already used by legacy UEs. By allowing UL transmissions / DL receptions in slot of different types, the gNB has more flexibility to </w:t>
      </w:r>
      <w:r w:rsidR="00A95414" w:rsidRPr="008A203A">
        <w:t xml:space="preserve">balance scheduling considering the interference conditions and the rate of resources used by legacy / SBFD UEs. </w:t>
      </w:r>
    </w:p>
    <w:p w14:paraId="4FED93F7" w14:textId="40B5CFB9" w:rsidR="004469CA" w:rsidRDefault="00A95414" w:rsidP="00A77BEF">
      <w:r w:rsidRPr="008A203A">
        <w:t>Therefore, we propose:</w:t>
      </w:r>
    </w:p>
    <w:p w14:paraId="1C6E6C70" w14:textId="15D005AE" w:rsidR="00A95414" w:rsidRDefault="006E70AD">
      <w:pPr>
        <w:pStyle w:val="Proposal"/>
      </w:pPr>
      <w:bookmarkStart w:id="928" w:name="_Toc142394829"/>
      <w:bookmarkStart w:id="929" w:name="_Toc142394921"/>
      <w:bookmarkStart w:id="930" w:name="_Toc142397667"/>
      <w:bookmarkStart w:id="931" w:name="_Toc142397765"/>
      <w:bookmarkStart w:id="932" w:name="_Toc142397972"/>
      <w:bookmarkStart w:id="933" w:name="_Toc142399699"/>
      <w:bookmarkStart w:id="934" w:name="_Toc142400785"/>
      <w:bookmarkStart w:id="935" w:name="_Toc142400883"/>
      <w:bookmarkStart w:id="936" w:name="_Toc142400981"/>
      <w:bookmarkStart w:id="937" w:name="_Toc142401091"/>
      <w:bookmarkStart w:id="938" w:name="_Toc142401264"/>
      <w:bookmarkStart w:id="939" w:name="_Toc142466608"/>
      <w:bookmarkStart w:id="940" w:name="_Toc142481228"/>
      <w:bookmarkStart w:id="941" w:name="_Toc142482042"/>
      <w:r>
        <w:rPr>
          <w:rFonts w:eastAsia="Malgun Gothic" w:cs="Times"/>
          <w:lang w:eastAsia="zh-CN"/>
        </w:rPr>
        <w:t>For SBFD aware UEs, for</w:t>
      </w:r>
      <w:r w:rsidR="000D77A1" w:rsidRPr="00D25B86">
        <w:rPr>
          <w:rFonts w:eastAsia="Malgun Gothic" w:cs="Times"/>
          <w:lang w:eastAsia="zh-CN"/>
        </w:rPr>
        <w:t xml:space="preserve"> UL transmissions and DL receptions across SBFD symbols and non-SBFD symbols </w:t>
      </w:r>
      <w:r w:rsidR="000D77A1" w:rsidRPr="008E3994">
        <w:rPr>
          <w:rFonts w:eastAsia="Malgun Gothic" w:cs="Times"/>
          <w:u w:val="single"/>
          <w:lang w:eastAsia="zh-CN"/>
        </w:rPr>
        <w:t>in different slots</w:t>
      </w:r>
      <w:r w:rsidR="000D77A1">
        <w:rPr>
          <w:rFonts w:eastAsia="Malgun Gothic" w:cs="Times"/>
          <w:lang w:eastAsia="zh-CN"/>
        </w:rPr>
        <w:t>, t</w:t>
      </w:r>
      <w:r w:rsidR="00A95414" w:rsidRPr="00A95414">
        <w:t>he transmissions/receptions can be in SBFD symbols and non-SBFD symbols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92EC102" w14:textId="6AB00620" w:rsidR="001915C7" w:rsidRDefault="002C0CDF" w:rsidP="005047DA">
      <w:pPr>
        <w:pStyle w:val="00BodyText"/>
        <w:jc w:val="both"/>
        <w:rPr>
          <w:rFonts w:ascii="Times New Roman" w:eastAsia="Malgun Gothic" w:hAnsi="Times New Roman" w:cs="Times"/>
          <w:sz w:val="20"/>
          <w:lang w:eastAsia="zh-CN"/>
        </w:rPr>
      </w:pPr>
      <w:r w:rsidRPr="008E3994">
        <w:rPr>
          <w:rFonts w:ascii="Times New Roman" w:eastAsia="Malgun Gothic" w:hAnsi="Times New Roman" w:cs="Times"/>
          <w:sz w:val="20"/>
          <w:lang w:eastAsia="zh-CN"/>
        </w:rPr>
        <w:t xml:space="preserve">Regarding the options </w:t>
      </w:r>
      <w:r w:rsidR="00A212E8" w:rsidRPr="008E3994">
        <w:rPr>
          <w:rFonts w:ascii="Times New Roman" w:eastAsia="Malgun Gothic" w:hAnsi="Times New Roman" w:cs="Times"/>
          <w:sz w:val="20"/>
          <w:lang w:eastAsia="zh-CN"/>
        </w:rPr>
        <w:t xml:space="preserve">agreed to be </w:t>
      </w:r>
      <w:r w:rsidR="000A3E2F">
        <w:rPr>
          <w:rFonts w:ascii="Times New Roman" w:eastAsia="Malgun Gothic" w:hAnsi="Times New Roman" w:cs="Times"/>
          <w:sz w:val="20"/>
          <w:lang w:eastAsia="zh-CN"/>
        </w:rPr>
        <w:t>studied</w:t>
      </w:r>
      <w:r w:rsidR="00A212E8" w:rsidRPr="008E3994">
        <w:rPr>
          <w:rFonts w:ascii="Times New Roman" w:eastAsia="Malgun Gothic" w:hAnsi="Times New Roman" w:cs="Times"/>
          <w:sz w:val="20"/>
          <w:lang w:eastAsia="zh-CN"/>
        </w:rPr>
        <w:t xml:space="preserve"> in the last meeting</w:t>
      </w:r>
      <w:r w:rsidR="0061498F">
        <w:rPr>
          <w:rFonts w:ascii="Times New Roman" w:eastAsia="Malgun Gothic" w:hAnsi="Times New Roman" w:cs="Times"/>
          <w:sz w:val="20"/>
          <w:lang w:eastAsia="zh-CN"/>
        </w:rPr>
        <w:t xml:space="preserve">, </w:t>
      </w:r>
      <w:r w:rsidR="005669F3">
        <w:rPr>
          <w:rFonts w:ascii="Times New Roman" w:eastAsia="Malgun Gothic" w:hAnsi="Times New Roman" w:cs="Times"/>
          <w:sz w:val="20"/>
          <w:lang w:eastAsia="zh-CN"/>
        </w:rPr>
        <w:t xml:space="preserve">in </w:t>
      </w:r>
      <w:r w:rsidR="00860F2F">
        <w:rPr>
          <w:rFonts w:ascii="Times New Roman" w:eastAsia="Malgun Gothic" w:hAnsi="Times New Roman" w:cs="Times"/>
          <w:sz w:val="20"/>
          <w:lang w:eastAsia="zh-CN"/>
        </w:rPr>
        <w:t>general, Option 1 (and the sub-options) provide more scheduling flexibility for the gNB</w:t>
      </w:r>
      <w:r w:rsidR="00F43B96">
        <w:rPr>
          <w:rFonts w:ascii="Times New Roman" w:eastAsia="Malgun Gothic" w:hAnsi="Times New Roman" w:cs="Times"/>
          <w:sz w:val="20"/>
          <w:lang w:eastAsia="zh-CN"/>
        </w:rPr>
        <w:t xml:space="preserve"> to allocate the resources across symbols of different types. This </w:t>
      </w:r>
      <w:r w:rsidR="00302572">
        <w:rPr>
          <w:rFonts w:ascii="Times New Roman" w:eastAsia="Malgun Gothic" w:hAnsi="Times New Roman" w:cs="Times"/>
          <w:sz w:val="20"/>
          <w:lang w:eastAsia="zh-CN"/>
        </w:rPr>
        <w:t>may come</w:t>
      </w:r>
      <w:r w:rsidR="00757DBF">
        <w:rPr>
          <w:rFonts w:ascii="Times New Roman" w:eastAsia="Malgun Gothic" w:hAnsi="Times New Roman" w:cs="Times"/>
          <w:sz w:val="20"/>
          <w:lang w:eastAsia="zh-CN"/>
        </w:rPr>
        <w:t xml:space="preserve"> at the cost of increased </w:t>
      </w:r>
      <w:r w:rsidR="005669F3">
        <w:rPr>
          <w:rFonts w:ascii="Times New Roman" w:eastAsia="Malgun Gothic" w:hAnsi="Times New Roman" w:cs="Times"/>
          <w:sz w:val="20"/>
          <w:lang w:eastAsia="zh-CN"/>
        </w:rPr>
        <w:t xml:space="preserve">complexity and </w:t>
      </w:r>
      <w:r w:rsidR="00757DBF">
        <w:rPr>
          <w:rFonts w:ascii="Times New Roman" w:eastAsia="Malgun Gothic" w:hAnsi="Times New Roman" w:cs="Times"/>
          <w:sz w:val="20"/>
          <w:lang w:eastAsia="zh-CN"/>
        </w:rPr>
        <w:t>signal</w:t>
      </w:r>
      <w:r w:rsidR="005669F3">
        <w:rPr>
          <w:rFonts w:ascii="Times New Roman" w:eastAsia="Malgun Gothic" w:hAnsi="Times New Roman" w:cs="Times"/>
          <w:sz w:val="20"/>
          <w:lang w:eastAsia="zh-CN"/>
        </w:rPr>
        <w:t xml:space="preserve">ing overhead </w:t>
      </w:r>
      <w:r w:rsidR="00F347B5">
        <w:rPr>
          <w:rFonts w:ascii="Times New Roman" w:eastAsia="Malgun Gothic" w:hAnsi="Times New Roman" w:cs="Times"/>
          <w:sz w:val="20"/>
          <w:lang w:eastAsia="zh-CN"/>
        </w:rPr>
        <w:t xml:space="preserve">but depending on </w:t>
      </w:r>
      <w:r w:rsidR="003F17B0">
        <w:rPr>
          <w:rFonts w:ascii="Times New Roman" w:eastAsia="Malgun Gothic" w:hAnsi="Times New Roman" w:cs="Times"/>
          <w:sz w:val="20"/>
          <w:lang w:eastAsia="zh-CN"/>
        </w:rPr>
        <w:t xml:space="preserve">signal/channel and how the configuration is done, this overhead is not critical. </w:t>
      </w:r>
      <w:r w:rsidR="00193E95">
        <w:rPr>
          <w:rFonts w:ascii="Times New Roman" w:eastAsia="Malgun Gothic" w:hAnsi="Times New Roman" w:cs="Times"/>
          <w:sz w:val="20"/>
          <w:lang w:eastAsia="zh-CN"/>
        </w:rPr>
        <w:t xml:space="preserve">Option </w:t>
      </w:r>
      <w:r w:rsidR="00E54608">
        <w:rPr>
          <w:rFonts w:ascii="Times New Roman" w:eastAsia="Malgun Gothic" w:hAnsi="Times New Roman" w:cs="Times"/>
          <w:sz w:val="20"/>
          <w:lang w:eastAsia="zh-CN"/>
        </w:rPr>
        <w:t>2</w:t>
      </w:r>
      <w:r w:rsidR="006C610A">
        <w:rPr>
          <w:rFonts w:ascii="Times New Roman" w:eastAsia="Malgun Gothic" w:hAnsi="Times New Roman" w:cs="Times"/>
          <w:sz w:val="20"/>
          <w:lang w:eastAsia="zh-CN"/>
        </w:rPr>
        <w:t xml:space="preserve">, </w:t>
      </w:r>
      <w:r w:rsidR="00C92292">
        <w:rPr>
          <w:rFonts w:ascii="Times New Roman" w:eastAsia="Malgun Gothic" w:hAnsi="Times New Roman" w:cs="Times"/>
          <w:sz w:val="20"/>
          <w:lang w:eastAsia="zh-CN"/>
        </w:rPr>
        <w:t xml:space="preserve">in which rate matching </w:t>
      </w:r>
      <w:r w:rsidR="008572BD">
        <w:rPr>
          <w:rFonts w:ascii="Times New Roman" w:eastAsia="Malgun Gothic" w:hAnsi="Times New Roman" w:cs="Times"/>
          <w:sz w:val="20"/>
          <w:lang w:eastAsia="zh-CN"/>
        </w:rPr>
        <w:t xml:space="preserve">or puncturing on the RBs outside the DL/UL subband is applied, </w:t>
      </w:r>
      <w:r w:rsidR="006C610A">
        <w:rPr>
          <w:rFonts w:ascii="Times New Roman" w:eastAsia="Malgun Gothic" w:hAnsi="Times New Roman" w:cs="Times"/>
          <w:sz w:val="20"/>
          <w:lang w:eastAsia="zh-CN"/>
        </w:rPr>
        <w:t>in our view</w:t>
      </w:r>
      <w:r w:rsidR="00287A3F">
        <w:rPr>
          <w:rFonts w:ascii="Times New Roman" w:eastAsia="Malgun Gothic" w:hAnsi="Times New Roman" w:cs="Times"/>
          <w:sz w:val="20"/>
          <w:lang w:eastAsia="zh-CN"/>
        </w:rPr>
        <w:t>, reduces the scheduling flexibility at the g</w:t>
      </w:r>
      <w:r w:rsidR="000B33F4">
        <w:rPr>
          <w:rFonts w:ascii="Times New Roman" w:eastAsia="Malgun Gothic" w:hAnsi="Times New Roman" w:cs="Times"/>
          <w:sz w:val="20"/>
          <w:lang w:eastAsia="zh-CN"/>
        </w:rPr>
        <w:t>NB</w:t>
      </w:r>
      <w:r w:rsidR="00EF041B">
        <w:rPr>
          <w:rFonts w:ascii="Times New Roman" w:eastAsia="Malgun Gothic" w:hAnsi="Times New Roman" w:cs="Times"/>
          <w:sz w:val="20"/>
          <w:lang w:eastAsia="zh-CN"/>
        </w:rPr>
        <w:t xml:space="preserve">, since in SBFD symbols the availability of the resources will differ </w:t>
      </w:r>
      <w:r w:rsidR="00132F87">
        <w:rPr>
          <w:rFonts w:ascii="Times New Roman" w:eastAsia="Malgun Gothic" w:hAnsi="Times New Roman" w:cs="Times"/>
          <w:sz w:val="20"/>
          <w:lang w:eastAsia="zh-CN"/>
        </w:rPr>
        <w:t>from non-SBFD symbols, and the</w:t>
      </w:r>
      <w:r w:rsidR="002A3B6A">
        <w:rPr>
          <w:rFonts w:ascii="Times New Roman" w:eastAsia="Malgun Gothic" w:hAnsi="Times New Roman" w:cs="Times"/>
          <w:sz w:val="20"/>
          <w:lang w:eastAsia="zh-CN"/>
        </w:rPr>
        <w:t xml:space="preserve"> symbols will suffer from different SINR conditions. </w:t>
      </w:r>
      <w:r w:rsidR="00C17B5A">
        <w:rPr>
          <w:rFonts w:ascii="Times New Roman" w:eastAsia="Malgun Gothic" w:hAnsi="Times New Roman" w:cs="Times"/>
          <w:sz w:val="20"/>
          <w:lang w:eastAsia="zh-CN"/>
        </w:rPr>
        <w:t xml:space="preserve">While this approach is </w:t>
      </w:r>
      <w:r w:rsidR="00307D6A">
        <w:rPr>
          <w:rFonts w:ascii="Times New Roman" w:eastAsia="Malgun Gothic" w:hAnsi="Times New Roman" w:cs="Times"/>
          <w:sz w:val="20"/>
          <w:lang w:eastAsia="zh-CN"/>
        </w:rPr>
        <w:t>suitable for some signals, for example</w:t>
      </w:r>
      <w:r w:rsidR="00642D0A">
        <w:rPr>
          <w:rFonts w:ascii="Times New Roman" w:eastAsia="Malgun Gothic" w:hAnsi="Times New Roman" w:cs="Times"/>
          <w:sz w:val="20"/>
          <w:lang w:eastAsia="zh-CN"/>
        </w:rPr>
        <w:t xml:space="preserve"> CSI-RS, it might not be suitable for </w:t>
      </w:r>
      <w:r w:rsidR="005C5982">
        <w:rPr>
          <w:rFonts w:ascii="Times New Roman" w:eastAsia="Malgun Gothic" w:hAnsi="Times New Roman" w:cs="Times"/>
          <w:sz w:val="20"/>
          <w:lang w:eastAsia="zh-CN"/>
        </w:rPr>
        <w:t>other</w:t>
      </w:r>
      <w:r w:rsidR="0005587F">
        <w:rPr>
          <w:rFonts w:ascii="Times New Roman" w:eastAsia="Malgun Gothic" w:hAnsi="Times New Roman" w:cs="Times"/>
          <w:sz w:val="20"/>
          <w:lang w:eastAsia="zh-CN"/>
        </w:rPr>
        <w:t xml:space="preserve"> channels such as </w:t>
      </w:r>
      <w:r w:rsidR="003C3E51">
        <w:rPr>
          <w:rFonts w:ascii="Times New Roman" w:eastAsia="Malgun Gothic" w:hAnsi="Times New Roman" w:cs="Times"/>
          <w:sz w:val="20"/>
          <w:lang w:eastAsia="zh-CN"/>
        </w:rPr>
        <w:t>DL SPS.</w:t>
      </w:r>
      <w:r w:rsidR="00826F04">
        <w:rPr>
          <w:rFonts w:ascii="Times New Roman" w:eastAsia="Malgun Gothic" w:hAnsi="Times New Roman" w:cs="Times"/>
          <w:sz w:val="20"/>
          <w:lang w:eastAsia="zh-CN"/>
        </w:rPr>
        <w:t xml:space="preserve"> </w:t>
      </w:r>
      <w:r w:rsidR="00E423AD">
        <w:rPr>
          <w:rFonts w:ascii="Times New Roman" w:eastAsia="Malgun Gothic" w:hAnsi="Times New Roman" w:cs="Times"/>
          <w:sz w:val="20"/>
          <w:lang w:eastAsia="zh-CN"/>
        </w:rPr>
        <w:t>Finally, in option 3 there will be a</w:t>
      </w:r>
      <w:r w:rsidR="00EE57F8">
        <w:rPr>
          <w:rFonts w:ascii="Times New Roman" w:eastAsia="Malgun Gothic" w:hAnsi="Times New Roman" w:cs="Times"/>
          <w:sz w:val="20"/>
          <w:lang w:eastAsia="zh-CN"/>
        </w:rPr>
        <w:t>n</w:t>
      </w:r>
      <w:r w:rsidR="00E423AD">
        <w:rPr>
          <w:rFonts w:ascii="Times New Roman" w:eastAsia="Malgun Gothic" w:hAnsi="Times New Roman" w:cs="Times"/>
          <w:sz w:val="20"/>
          <w:lang w:eastAsia="zh-CN"/>
        </w:rPr>
        <w:t xml:space="preserve"> unnecessary performance impact since the transmissions/receptions will be dropped or postponed. </w:t>
      </w:r>
      <w:r w:rsidR="00796739">
        <w:rPr>
          <w:rFonts w:ascii="Times New Roman" w:eastAsia="Malgun Gothic" w:hAnsi="Times New Roman" w:cs="Times"/>
          <w:sz w:val="20"/>
          <w:lang w:eastAsia="zh-CN"/>
        </w:rPr>
        <w:t>In our view</w:t>
      </w:r>
      <w:r w:rsidR="00D4400E">
        <w:rPr>
          <w:rFonts w:ascii="Times New Roman" w:eastAsia="Malgun Gothic" w:hAnsi="Times New Roman" w:cs="Times"/>
          <w:sz w:val="20"/>
          <w:lang w:eastAsia="zh-CN"/>
        </w:rPr>
        <w:t>, option 3 is not preferred in any scenario.</w:t>
      </w:r>
    </w:p>
    <w:p w14:paraId="548D8037" w14:textId="6E19DBAE" w:rsidR="005669F3" w:rsidRPr="00A212E8" w:rsidRDefault="0083446D" w:rsidP="008E3994">
      <w:pPr>
        <w:pStyle w:val="00BodyText"/>
      </w:pPr>
      <w:r>
        <w:rPr>
          <w:rFonts w:ascii="Times New Roman" w:eastAsia="Malgun Gothic" w:hAnsi="Times New Roman" w:cs="Times"/>
          <w:sz w:val="20"/>
          <w:lang w:eastAsia="zh-CN"/>
        </w:rPr>
        <w:t>In</w:t>
      </w:r>
      <w:r w:rsidR="005669F3">
        <w:rPr>
          <w:rFonts w:ascii="Times New Roman" w:eastAsia="Malgun Gothic" w:hAnsi="Times New Roman" w:cs="Times"/>
          <w:sz w:val="20"/>
          <w:lang w:eastAsia="zh-CN"/>
        </w:rPr>
        <w:t xml:space="preserve"> the next sections we discuss the alternatives for different signals/channels.</w:t>
      </w:r>
    </w:p>
    <w:p w14:paraId="7B7ADD6C" w14:textId="77777777" w:rsidR="00C31E9C" w:rsidRPr="00091061" w:rsidRDefault="00C31E9C" w:rsidP="001E7186">
      <w:pPr>
        <w:pStyle w:val="Heading5"/>
        <w:rPr>
          <w:lang w:eastAsia="da-DK"/>
        </w:rPr>
      </w:pPr>
      <w:r w:rsidRPr="00091061">
        <w:t>CG-</w:t>
      </w:r>
      <w:r w:rsidRPr="00091061">
        <w:rPr>
          <w:lang w:eastAsia="da-DK"/>
        </w:rPr>
        <w:t>PUSCH and DL SPS</w:t>
      </w:r>
    </w:p>
    <w:p w14:paraId="338D81E1" w14:textId="77777777" w:rsidR="00C31E9C" w:rsidRDefault="00C31E9C" w:rsidP="00C31E9C">
      <w:pPr>
        <w:spacing w:after="120"/>
        <w:jc w:val="both"/>
        <w:rPr>
          <w:lang w:val="en-US"/>
        </w:rPr>
      </w:pPr>
      <w:r w:rsidRPr="00C05D0D">
        <w:rPr>
          <w:lang w:val="en-US"/>
        </w:rPr>
        <w:t>A configured grant (CG)-PUSCH configuration can grant the UE with periodic resources for UL PUSCH transmissions. Two types of CG-PUSCH configurations are specified in NR: Type-1 CG and Type-2 CG. For both Type-1 and Type-2 CG, the CG-PUSCH allocation periodicity is configured via RRC. The resource allocation parameters (MCS, FD resource allocation, TD resource allocation) are provided via an ‘activation DCI’ for Type-2 CG, and via RRC signaling for Type-1 CG. In case of Type-2 CG, the resource allocation parameters apply for each of the subsequent periodic UL PUSCH transmissions following the ‘activation DCI’. The radio parameters can be adjusted by the gNB at any time by re-issuing a new DCI (a.k.a. ‘reactivation DCI’).</w:t>
      </w:r>
    </w:p>
    <w:p w14:paraId="39136796" w14:textId="77777777" w:rsidR="00C564FB" w:rsidRDefault="00C31E9C" w:rsidP="00C31E9C">
      <w:pPr>
        <w:spacing w:after="120"/>
        <w:jc w:val="both"/>
        <w:rPr>
          <w:lang w:val="en-US"/>
        </w:rPr>
      </w:pPr>
      <w:r w:rsidRPr="00C05D0D">
        <w:rPr>
          <w:lang w:val="en-US"/>
        </w:rPr>
        <w:t xml:space="preserve">With SBFD, there is the problem of i) different resource availability in UL-only slots vs. SBFD slots with, as well as ii) potentially different SINR conditions in UL-only vs. SBFD due to the presence of new SBFD interference types, </w:t>
      </w:r>
      <w:proofErr w:type="gramStart"/>
      <w:r w:rsidRPr="00C05D0D">
        <w:rPr>
          <w:lang w:val="en-US"/>
        </w:rPr>
        <w:t>e.g.</w:t>
      </w:r>
      <w:proofErr w:type="gramEnd"/>
      <w:r w:rsidRPr="00C05D0D">
        <w:rPr>
          <w:lang w:val="en-US"/>
        </w:rPr>
        <w:t xml:space="preserve"> self-interference and inter-subband interference. To address this problem, </w:t>
      </w:r>
      <w:r>
        <w:rPr>
          <w:lang w:val="en-US"/>
        </w:rPr>
        <w:t>one option is</w:t>
      </w:r>
      <w:r w:rsidRPr="00C05D0D">
        <w:rPr>
          <w:lang w:val="en-US"/>
        </w:rPr>
        <w:t xml:space="preserve"> to introduce SBFD-specific CG</w:t>
      </w:r>
      <w:r>
        <w:rPr>
          <w:lang w:val="en-US"/>
        </w:rPr>
        <w:t>-PUSCH configurations</w:t>
      </w:r>
      <w:r w:rsidRPr="00C05D0D">
        <w:rPr>
          <w:lang w:val="en-US"/>
        </w:rPr>
        <w:t xml:space="preserve"> where, for each CG occasion, one or another set of radio parameters (FD resource allocation, TD resource allocation, MCS, etc.) is used depending on the corresponding slot format (</w:t>
      </w:r>
      <w:proofErr w:type="gramStart"/>
      <w:r w:rsidRPr="00C05D0D">
        <w:rPr>
          <w:lang w:val="en-US"/>
        </w:rPr>
        <w:t>e.g.</w:t>
      </w:r>
      <w:proofErr w:type="gramEnd"/>
      <w:r w:rsidRPr="00C05D0D">
        <w:rPr>
          <w:lang w:val="en-US"/>
        </w:rPr>
        <w:t xml:space="preserve"> UL-only or SBFD). </w:t>
      </w:r>
      <w:r>
        <w:rPr>
          <w:lang w:val="en-US"/>
        </w:rPr>
        <w:t xml:space="preserve">This can be achieved by having </w:t>
      </w:r>
      <w:proofErr w:type="gramStart"/>
      <w:r>
        <w:rPr>
          <w:lang w:val="en-US"/>
        </w:rPr>
        <w:t>e.g.</w:t>
      </w:r>
      <w:proofErr w:type="gramEnd"/>
      <w:r>
        <w:rPr>
          <w:lang w:val="en-US"/>
        </w:rPr>
        <w:t xml:space="preserve"> two or more independently configured CG configurations (</w:t>
      </w:r>
      <w:proofErr w:type="spellStart"/>
      <w:r w:rsidRPr="00DA2FFA">
        <w:rPr>
          <w:i/>
          <w:iCs/>
          <w:lang w:val="en-US"/>
        </w:rPr>
        <w:t>ConfiguredGrantConfig</w:t>
      </w:r>
      <w:proofErr w:type="spellEnd"/>
      <w:r>
        <w:rPr>
          <w:lang w:val="en-US"/>
        </w:rPr>
        <w:t>), where each of them is associated to one slot type.</w:t>
      </w:r>
    </w:p>
    <w:p w14:paraId="56BC6223" w14:textId="12B4539E" w:rsidR="00C31E9C" w:rsidRDefault="00C564FB" w:rsidP="00C31E9C">
      <w:pPr>
        <w:spacing w:after="120"/>
        <w:jc w:val="both"/>
        <w:rPr>
          <w:lang w:val="en-US"/>
        </w:rPr>
      </w:pPr>
      <w:r>
        <w:rPr>
          <w:lang w:val="en-US"/>
        </w:rPr>
        <w:t xml:space="preserve">Considering the different options agreed to be discussed in RAN1 #112bis-e, </w:t>
      </w:r>
      <w:r w:rsidR="004C3A48">
        <w:rPr>
          <w:lang w:val="en-US"/>
        </w:rPr>
        <w:t>t</w:t>
      </w:r>
      <w:r w:rsidR="00932442">
        <w:rPr>
          <w:lang w:val="en-US"/>
        </w:rPr>
        <w:t xml:space="preserve">his is covered by Option </w:t>
      </w:r>
      <w:r w:rsidR="002E6C31">
        <w:rPr>
          <w:lang w:val="en-US"/>
        </w:rPr>
        <w:t>1-1</w:t>
      </w:r>
      <w:r w:rsidR="007B6913">
        <w:rPr>
          <w:lang w:val="en-US"/>
        </w:rPr>
        <w:t xml:space="preserve"> in the agreement in RAN1#112bis-e.</w:t>
      </w:r>
    </w:p>
    <w:p w14:paraId="140DCAE9" w14:textId="77777777" w:rsidR="00C31E9C" w:rsidRDefault="00C31E9C" w:rsidP="00C31E9C">
      <w:pPr>
        <w:spacing w:after="120"/>
        <w:jc w:val="both"/>
        <w:rPr>
          <w:lang w:val="en-US"/>
        </w:rPr>
      </w:pPr>
      <w:r>
        <w:rPr>
          <w:lang w:val="en-US"/>
        </w:rPr>
        <w:t>A similar approach may also be applied for DL SPS PDSCH.</w:t>
      </w:r>
    </w:p>
    <w:p w14:paraId="702DF939" w14:textId="049280FD" w:rsidR="00C31E9C" w:rsidRDefault="00763DB8">
      <w:pPr>
        <w:pStyle w:val="Proposal"/>
      </w:pPr>
      <w:bookmarkStart w:id="942" w:name="_Toc142394830"/>
      <w:bookmarkStart w:id="943" w:name="_Toc142394922"/>
      <w:bookmarkStart w:id="944" w:name="_Toc142397668"/>
      <w:bookmarkStart w:id="945" w:name="_Toc142397766"/>
      <w:bookmarkStart w:id="946" w:name="_Toc142397973"/>
      <w:bookmarkStart w:id="947" w:name="_Toc142399700"/>
      <w:bookmarkStart w:id="948" w:name="_Toc142400786"/>
      <w:bookmarkStart w:id="949" w:name="_Toc142400884"/>
      <w:bookmarkStart w:id="950" w:name="_Toc142400982"/>
      <w:bookmarkStart w:id="951" w:name="_Toc142401092"/>
      <w:bookmarkStart w:id="952" w:name="_Toc142401265"/>
      <w:bookmarkStart w:id="953" w:name="_Toc142466609"/>
      <w:bookmarkStart w:id="954" w:name="_Toc142481229"/>
      <w:bookmarkStart w:id="955" w:name="_Toc142482043"/>
      <w:r>
        <w:t>For CG-PUSCH and DL SPS</w:t>
      </w:r>
      <w:r w:rsidR="009315F7">
        <w:t xml:space="preserve">, introduce SBFD-specific </w:t>
      </w:r>
      <w:r w:rsidR="001675E7">
        <w:t>configurations where one set of radio parameters is used depending on the corresponding slot format.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r w:rsidR="001675E7">
        <w:t xml:space="preserve"> </w:t>
      </w:r>
    </w:p>
    <w:p w14:paraId="43F5A66F" w14:textId="6FDFD73A" w:rsidR="009056B3" w:rsidRDefault="00D5481E" w:rsidP="001E7186">
      <w:pPr>
        <w:pStyle w:val="Heading5"/>
        <w:rPr>
          <w:lang w:val="en-US"/>
        </w:rPr>
      </w:pPr>
      <w:r>
        <w:rPr>
          <w:lang w:val="en-US"/>
        </w:rPr>
        <w:t>SRS/PUCCH/PUSCH</w:t>
      </w:r>
      <w:r w:rsidR="00D847DC">
        <w:rPr>
          <w:lang w:val="en-US"/>
        </w:rPr>
        <w:t xml:space="preserve"> in SBFD and non-SBFD symbols in different slots</w:t>
      </w:r>
    </w:p>
    <w:p w14:paraId="6FF9B4BB" w14:textId="1C984181" w:rsidR="00071F2A" w:rsidRDefault="00442DB5" w:rsidP="00990CD4">
      <w:pPr>
        <w:rPr>
          <w:lang w:val="en-US"/>
        </w:rPr>
      </w:pPr>
      <w:r>
        <w:rPr>
          <w:lang w:val="en-US"/>
        </w:rPr>
        <w:t xml:space="preserve">For SRS/PUCCH/ PUSCH </w:t>
      </w:r>
      <w:r w:rsidR="00F839FC">
        <w:rPr>
          <w:lang w:val="en-US"/>
        </w:rPr>
        <w:t xml:space="preserve">we also believe that Option </w:t>
      </w:r>
      <w:r w:rsidR="00665B00">
        <w:rPr>
          <w:lang w:val="en-US"/>
        </w:rPr>
        <w:t xml:space="preserve">1 is more suitable. </w:t>
      </w:r>
      <w:r w:rsidR="00071F2A">
        <w:rPr>
          <w:lang w:val="en-US"/>
        </w:rPr>
        <w:t>Option 1 increases the flexibility of the configuration but can result in a more complex design and overhead</w:t>
      </w:r>
      <w:r w:rsidR="00D911DA">
        <w:rPr>
          <w:lang w:val="en-US"/>
        </w:rPr>
        <w:t xml:space="preserve"> (especially in Option 1-1</w:t>
      </w:r>
      <w:r w:rsidR="00517A2E">
        <w:rPr>
          <w:lang w:val="en-US"/>
        </w:rPr>
        <w:t xml:space="preserve">, and to a lesser </w:t>
      </w:r>
      <w:r w:rsidR="00773671">
        <w:rPr>
          <w:lang w:val="en-US"/>
        </w:rPr>
        <w:t>extent</w:t>
      </w:r>
      <w:r w:rsidR="00517A2E">
        <w:rPr>
          <w:lang w:val="en-US"/>
        </w:rPr>
        <w:t xml:space="preserve"> </w:t>
      </w:r>
      <w:r w:rsidR="001F1694">
        <w:rPr>
          <w:lang w:val="en-US"/>
        </w:rPr>
        <w:t>in Option 1-3)</w:t>
      </w:r>
      <w:r w:rsidR="00071F2A">
        <w:rPr>
          <w:lang w:val="en-US"/>
        </w:rPr>
        <w:t xml:space="preserve">. </w:t>
      </w:r>
      <w:r w:rsidR="00773671">
        <w:rPr>
          <w:lang w:val="en-US"/>
        </w:rPr>
        <w:t>In Option 2,</w:t>
      </w:r>
      <w:r w:rsidR="00071F2A">
        <w:rPr>
          <w:lang w:val="en-US"/>
        </w:rPr>
        <w:t xml:space="preserve"> only one configuration is provided, and it is avoided to increase the DCI overhead, but the scheduling flexibility is reduced.</w:t>
      </w:r>
      <w:r w:rsidR="0057054B">
        <w:rPr>
          <w:lang w:val="en-US"/>
        </w:rPr>
        <w:t xml:space="preserve"> Option 3 is </w:t>
      </w:r>
      <w:r w:rsidR="0093602F">
        <w:rPr>
          <w:lang w:val="en-US"/>
        </w:rPr>
        <w:t xml:space="preserve">not preferred, because it will result in performance degradation. </w:t>
      </w:r>
    </w:p>
    <w:p w14:paraId="147DD767" w14:textId="35903F71" w:rsidR="008361BC" w:rsidRDefault="00216E0A" w:rsidP="00990CD4">
      <w:pPr>
        <w:rPr>
          <w:lang w:val="en-US"/>
        </w:rPr>
      </w:pPr>
      <w:r>
        <w:rPr>
          <w:lang w:val="en-US"/>
        </w:rPr>
        <w:t>We would be OK with either Option 1-</w:t>
      </w:r>
      <w:r w:rsidR="00CC64F9">
        <w:rPr>
          <w:lang w:val="en-US"/>
        </w:rPr>
        <w:t xml:space="preserve">1, in which separate FDRA configurations/ indications </w:t>
      </w:r>
      <w:r w:rsidR="006A5C96">
        <w:rPr>
          <w:lang w:val="en-US"/>
        </w:rPr>
        <w:t>are given, or with option</w:t>
      </w:r>
      <w:r w:rsidR="0000247A">
        <w:rPr>
          <w:lang w:val="en-US"/>
        </w:rPr>
        <w:t xml:space="preserve"> 1-</w:t>
      </w:r>
      <w:r w:rsidR="006A5C96">
        <w:rPr>
          <w:lang w:val="en-US"/>
        </w:rPr>
        <w:t xml:space="preserve">3, in which a single FDRA configuration/indication and RB offsets are provided. </w:t>
      </w:r>
      <w:r w:rsidR="006F53DA">
        <w:rPr>
          <w:lang w:val="en-US"/>
        </w:rPr>
        <w:t xml:space="preserve">This offset can be either </w:t>
      </w:r>
      <w:r w:rsidR="00A87EC2">
        <w:rPr>
          <w:lang w:val="en-US"/>
        </w:rPr>
        <w:t>configured by the network, or can be inferred by the UE based on</w:t>
      </w:r>
      <w:r w:rsidR="00AD6639">
        <w:rPr>
          <w:lang w:val="en-US"/>
        </w:rPr>
        <w:t>, for example, the ratio between the bandwidth of the UL or DL subbands</w:t>
      </w:r>
      <w:r w:rsidR="00C531BE">
        <w:rPr>
          <w:lang w:val="en-US"/>
        </w:rPr>
        <w:t xml:space="preserve">, and the bandwidth of the entire UL BWP. </w:t>
      </w:r>
      <w:r w:rsidR="006C3A73">
        <w:rPr>
          <w:lang w:val="en-US"/>
        </w:rPr>
        <w:t xml:space="preserve">Option </w:t>
      </w:r>
      <w:r w:rsidR="009E4432">
        <w:rPr>
          <w:lang w:val="en-US"/>
        </w:rPr>
        <w:t>1-3</w:t>
      </w:r>
      <w:r w:rsidR="00705ABC">
        <w:rPr>
          <w:lang w:val="en-US"/>
        </w:rPr>
        <w:t xml:space="preserve"> increases </w:t>
      </w:r>
      <w:r w:rsidR="007805AC">
        <w:rPr>
          <w:lang w:val="en-US"/>
        </w:rPr>
        <w:t xml:space="preserve">the signaling overhead, but less than the first option, but without </w:t>
      </w:r>
      <w:r w:rsidR="00F744B5">
        <w:rPr>
          <w:lang w:val="en-US"/>
        </w:rPr>
        <w:t>compromising the scheduling flexibility.</w:t>
      </w:r>
    </w:p>
    <w:p w14:paraId="2BAB5903" w14:textId="092FA2D7" w:rsidR="00110167" w:rsidRPr="00A2399B" w:rsidRDefault="00F744B5">
      <w:pPr>
        <w:pStyle w:val="Proposal"/>
      </w:pPr>
      <w:bookmarkStart w:id="956" w:name="_Toc142394831"/>
      <w:bookmarkStart w:id="957" w:name="_Toc142394923"/>
      <w:bookmarkStart w:id="958" w:name="_Toc142397669"/>
      <w:bookmarkStart w:id="959" w:name="_Toc142397767"/>
      <w:bookmarkStart w:id="960" w:name="_Toc142397974"/>
      <w:bookmarkStart w:id="961" w:name="_Toc142399701"/>
      <w:bookmarkStart w:id="962" w:name="_Toc142400787"/>
      <w:bookmarkStart w:id="963" w:name="_Toc142400885"/>
      <w:bookmarkStart w:id="964" w:name="_Toc142400983"/>
      <w:bookmarkStart w:id="965" w:name="_Toc142401093"/>
      <w:bookmarkStart w:id="966" w:name="_Toc142401266"/>
      <w:bookmarkStart w:id="967" w:name="_Toc142466610"/>
      <w:bookmarkStart w:id="968" w:name="_Toc142481230"/>
      <w:bookmarkStart w:id="969" w:name="_Toc142482044"/>
      <w:r>
        <w:t xml:space="preserve">For SRS, PUCCH and PUSCH on SBFD symbols and non-SBFD symbols in different slots, </w:t>
      </w:r>
      <w:r w:rsidR="00B95838">
        <w:t>introduce separate</w:t>
      </w:r>
      <w:r w:rsidR="00A305B7">
        <w:t xml:space="preserve"> configurations (as</w:t>
      </w:r>
      <w:r w:rsidR="00704ECE">
        <w:t xml:space="preserve"> in Option 1-1)</w:t>
      </w:r>
      <w:r w:rsidR="00B95838">
        <w:t>, or related configurations</w:t>
      </w:r>
      <w:r w:rsidR="00796C36">
        <w:t xml:space="preserve"> </w:t>
      </w:r>
      <w:r w:rsidR="00F84EF6">
        <w:t>(</w:t>
      </w:r>
      <w:r w:rsidR="00704ECE">
        <w:t>as in Option 1-3</w:t>
      </w:r>
      <w:r w:rsidR="00F84EF6">
        <w:t>)</w:t>
      </w:r>
      <w:r w:rsidR="00B95838">
        <w:t>.</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r w:rsidR="00B95838">
        <w:t xml:space="preserve"> </w:t>
      </w:r>
    </w:p>
    <w:p w14:paraId="4FE8A8F8" w14:textId="77777777" w:rsidR="006A4CA1" w:rsidRPr="00C56DA3" w:rsidRDefault="006A4CA1" w:rsidP="001C18DB">
      <w:pPr>
        <w:rPr>
          <w:lang w:val="en-US"/>
        </w:rPr>
      </w:pPr>
    </w:p>
    <w:p w14:paraId="5430E4B3" w14:textId="061142C7" w:rsidR="00437E81" w:rsidRPr="00437E81" w:rsidRDefault="00437E81" w:rsidP="007A1F71">
      <w:pPr>
        <w:pStyle w:val="Heading5"/>
        <w:rPr>
          <w:lang w:val="en-US"/>
        </w:rPr>
      </w:pPr>
      <w:r w:rsidRPr="00437E81">
        <w:rPr>
          <w:lang w:val="en-US"/>
        </w:rPr>
        <w:t>PDSCH/PUSCH</w:t>
      </w:r>
      <w:r w:rsidR="00220B7C">
        <w:rPr>
          <w:lang w:val="en-US"/>
        </w:rPr>
        <w:t xml:space="preserve"> </w:t>
      </w:r>
      <w:r w:rsidR="00317D7C">
        <w:rPr>
          <w:lang w:val="en-US"/>
        </w:rPr>
        <w:t>when the transmissions last more than one slot</w:t>
      </w:r>
    </w:p>
    <w:p w14:paraId="0EC19E93" w14:textId="14B946A5" w:rsidR="00407DF0" w:rsidRDefault="00437E81" w:rsidP="00216588">
      <w:pPr>
        <w:jc w:val="both"/>
        <w:rPr>
          <w:lang w:val="en-US"/>
        </w:rPr>
      </w:pPr>
      <w:r w:rsidRPr="00283873">
        <w:rPr>
          <w:lang w:val="en-US"/>
        </w:rPr>
        <w:t>While considering transmission</w:t>
      </w:r>
      <w:r>
        <w:rPr>
          <w:lang w:val="en-US"/>
        </w:rPr>
        <w:t>s</w:t>
      </w:r>
      <w:r w:rsidRPr="00283873">
        <w:rPr>
          <w:lang w:val="en-US"/>
        </w:rPr>
        <w:t xml:space="preserve"> lasting for more than one slot, </w:t>
      </w:r>
      <w:proofErr w:type="gramStart"/>
      <w:r w:rsidRPr="00283873">
        <w:rPr>
          <w:lang w:val="en-US"/>
        </w:rPr>
        <w:t>e.g.</w:t>
      </w:r>
      <w:proofErr w:type="gramEnd"/>
      <w:r w:rsidRPr="00283873">
        <w:rPr>
          <w:lang w:val="en-US"/>
        </w:rPr>
        <w:t xml:space="preserve"> repetition o</w:t>
      </w:r>
      <w:r>
        <w:rPr>
          <w:lang w:val="en-US"/>
        </w:rPr>
        <w:t>r</w:t>
      </w:r>
      <w:r w:rsidRPr="00283873">
        <w:rPr>
          <w:lang w:val="en-US"/>
        </w:rPr>
        <w:t xml:space="preserve"> slot aggregation, the same transmission may be scheduled or granted to be transmitted on both SBFD slot and non-SBFD slot. How the PDSCH</w:t>
      </w:r>
      <w:r>
        <w:rPr>
          <w:lang w:val="en-US"/>
        </w:rPr>
        <w:t>/PUSCH</w:t>
      </w:r>
      <w:r w:rsidRPr="00283873">
        <w:rPr>
          <w:lang w:val="en-US"/>
        </w:rPr>
        <w:t xml:space="preserve"> </w:t>
      </w:r>
      <w:r>
        <w:rPr>
          <w:lang w:val="en-US"/>
        </w:rPr>
        <w:t>is</w:t>
      </w:r>
      <w:r w:rsidRPr="00283873">
        <w:rPr>
          <w:lang w:val="en-US"/>
        </w:rPr>
        <w:t xml:space="preserve"> mapped on different type of slots based </w:t>
      </w:r>
      <w:r>
        <w:rPr>
          <w:lang w:val="en-US"/>
        </w:rPr>
        <w:t xml:space="preserve">on </w:t>
      </w:r>
      <w:r w:rsidRPr="00283873">
        <w:rPr>
          <w:lang w:val="en-US"/>
        </w:rPr>
        <w:t>the same DCI or grant, should be studied.</w:t>
      </w:r>
      <w:r w:rsidR="0051179C">
        <w:rPr>
          <w:lang w:val="en-US"/>
        </w:rPr>
        <w:t xml:space="preserve"> </w:t>
      </w:r>
      <w:r w:rsidR="00C51D26">
        <w:rPr>
          <w:lang w:val="en-US"/>
        </w:rPr>
        <w:t>There</w:t>
      </w:r>
      <w:r w:rsidR="0051179C">
        <w:rPr>
          <w:lang w:val="en-US"/>
        </w:rPr>
        <w:t xml:space="preserve"> are several scenarios such that a transmission may span across the two slot types, especially for UL transmission</w:t>
      </w:r>
      <w:r w:rsidR="0021065B">
        <w:rPr>
          <w:lang w:val="en-US"/>
        </w:rPr>
        <w:t xml:space="preserve"> enhancement</w:t>
      </w:r>
      <w:r w:rsidR="0051179C">
        <w:rPr>
          <w:lang w:val="en-US"/>
        </w:rPr>
        <w:t xml:space="preserve">. Indeed, any transmission in SBFD slots may suffer from performance degradation due to CLI, </w:t>
      </w:r>
      <w:r w:rsidR="000C2FCE">
        <w:rPr>
          <w:lang w:val="en-US"/>
        </w:rPr>
        <w:t xml:space="preserve">which strongly </w:t>
      </w:r>
      <w:r w:rsidR="0066673B">
        <w:rPr>
          <w:lang w:val="en-US"/>
        </w:rPr>
        <w:t>impacts</w:t>
      </w:r>
      <w:r w:rsidR="000C2FCE">
        <w:rPr>
          <w:lang w:val="en-US"/>
        </w:rPr>
        <w:t xml:space="preserve"> its coverage in these slots. </w:t>
      </w:r>
    </w:p>
    <w:p w14:paraId="63EDCB30" w14:textId="0037D397" w:rsidR="0051179C" w:rsidRPr="0051179C" w:rsidRDefault="000C2FCE" w:rsidP="00216588">
      <w:pPr>
        <w:jc w:val="both"/>
        <w:rPr>
          <w:lang w:val="en-US"/>
        </w:rPr>
      </w:pPr>
      <w:r>
        <w:rPr>
          <w:lang w:val="en-US"/>
        </w:rPr>
        <w:t>This issue is more relevant for UL than DL given the limited transmit power at UE side. E</w:t>
      </w:r>
      <w:r w:rsidR="0051179C">
        <w:rPr>
          <w:lang w:val="en-US"/>
        </w:rPr>
        <w:t>xisting techniques</w:t>
      </w:r>
      <w:r>
        <w:rPr>
          <w:lang w:val="en-US"/>
        </w:rPr>
        <w:t xml:space="preserve"> for UL coverage enhancements can</w:t>
      </w:r>
      <w:r w:rsidR="0051179C">
        <w:rPr>
          <w:lang w:val="en-US"/>
        </w:rPr>
        <w:t xml:space="preserve"> </w:t>
      </w:r>
      <w:r>
        <w:rPr>
          <w:lang w:val="en-US"/>
        </w:rPr>
        <w:t>be applied for improving coverage of the transmissions in SBFD slot, namely PUSCH/PUCCH repetitions, TB processing over multiple slots (</w:t>
      </w:r>
      <w:proofErr w:type="spellStart"/>
      <w:r>
        <w:rPr>
          <w:lang w:val="en-US"/>
        </w:rPr>
        <w:t>TBoMS</w:t>
      </w:r>
      <w:proofErr w:type="spellEnd"/>
      <w:r>
        <w:rPr>
          <w:lang w:val="en-US"/>
        </w:rPr>
        <w:t>) etc. This may lead to the case when some PUSCH/PUCCH repetitions are on SBFD slots and some other PUSCH/PUCCH repetitions are on non-SBFD slots</w:t>
      </w:r>
      <w:r w:rsidR="00B07D9F">
        <w:rPr>
          <w:lang w:val="en-US"/>
        </w:rPr>
        <w:t xml:space="preserve">, or a single </w:t>
      </w:r>
      <w:proofErr w:type="spellStart"/>
      <w:r w:rsidR="00B07D9F">
        <w:rPr>
          <w:lang w:val="en-US"/>
        </w:rPr>
        <w:t>TBoMS</w:t>
      </w:r>
      <w:proofErr w:type="spellEnd"/>
      <w:r w:rsidR="00B07D9F">
        <w:rPr>
          <w:lang w:val="en-US"/>
        </w:rPr>
        <w:t xml:space="preserve"> can span across SBFD and non-SBFD slots</w:t>
      </w:r>
      <w:r>
        <w:rPr>
          <w:lang w:val="en-US"/>
        </w:rPr>
        <w:t>.</w:t>
      </w:r>
      <w:r w:rsidR="00B07D9F">
        <w:rPr>
          <w:lang w:val="en-US"/>
        </w:rPr>
        <w:t xml:space="preserve"> Given that the potential performance degradation</w:t>
      </w:r>
      <w:r w:rsidR="00FA6AB5">
        <w:rPr>
          <w:lang w:val="en-US"/>
        </w:rPr>
        <w:t xml:space="preserve"> may</w:t>
      </w:r>
      <w:r w:rsidR="00B07D9F">
        <w:rPr>
          <w:lang w:val="en-US"/>
        </w:rPr>
        <w:t xml:space="preserve"> happen only on SBFD slot</w:t>
      </w:r>
      <w:r w:rsidR="00FA6AB5">
        <w:rPr>
          <w:lang w:val="en-US"/>
        </w:rPr>
        <w:t xml:space="preserve"> and that non-SBFD slots offer wider bandwidth which can be leveraged to improve throughput, RAN1 can further study techniques to adapt the repetitions/</w:t>
      </w:r>
      <w:proofErr w:type="spellStart"/>
      <w:r w:rsidR="00FA6AB5">
        <w:rPr>
          <w:lang w:val="en-US"/>
        </w:rPr>
        <w:t>TBoMS</w:t>
      </w:r>
      <w:proofErr w:type="spellEnd"/>
      <w:r w:rsidR="00FA6AB5">
        <w:rPr>
          <w:lang w:val="en-US"/>
        </w:rPr>
        <w:t xml:space="preserve"> feature to better exploit/balance the different characteristic of SBFD and non-SBFD slots. One straightforward approach is to consider different number of RBs for the repetitions (or the slots of a </w:t>
      </w:r>
      <w:proofErr w:type="spellStart"/>
      <w:r w:rsidR="00FA6AB5">
        <w:rPr>
          <w:lang w:val="en-US"/>
        </w:rPr>
        <w:t>TBoMS</w:t>
      </w:r>
      <w:proofErr w:type="spellEnd"/>
      <w:r w:rsidR="00FA6AB5">
        <w:rPr>
          <w:lang w:val="en-US"/>
        </w:rPr>
        <w:t xml:space="preserve">) in SBFD slots compared to the repetitions (or the slots of the </w:t>
      </w:r>
      <w:proofErr w:type="spellStart"/>
      <w:r w:rsidR="00FA6AB5">
        <w:rPr>
          <w:lang w:val="en-US"/>
        </w:rPr>
        <w:t>TBoMS</w:t>
      </w:r>
      <w:proofErr w:type="spellEnd"/>
      <w:r w:rsidR="00FA6AB5">
        <w:rPr>
          <w:lang w:val="en-US"/>
        </w:rPr>
        <w:t>) in non-SBFD slots. Another</w:t>
      </w:r>
      <w:r w:rsidR="007B66EE">
        <w:rPr>
          <w:lang w:val="en-US"/>
        </w:rPr>
        <w:t xml:space="preserve"> straightforward</w:t>
      </w:r>
      <w:r w:rsidR="00FA6AB5">
        <w:rPr>
          <w:lang w:val="en-US"/>
        </w:rPr>
        <w:t xml:space="preserve"> approach would be to combine both repetitions and </w:t>
      </w:r>
      <w:proofErr w:type="spellStart"/>
      <w:r w:rsidR="00FA6AB5">
        <w:rPr>
          <w:lang w:val="en-US"/>
        </w:rPr>
        <w:t>TBoMS</w:t>
      </w:r>
      <w:proofErr w:type="spellEnd"/>
      <w:r w:rsidR="00FA6AB5">
        <w:rPr>
          <w:lang w:val="en-US"/>
        </w:rPr>
        <w:t xml:space="preserve">, for example applying </w:t>
      </w:r>
      <w:proofErr w:type="spellStart"/>
      <w:r w:rsidR="00FA6AB5">
        <w:rPr>
          <w:lang w:val="en-US"/>
        </w:rPr>
        <w:t>TBoMS</w:t>
      </w:r>
      <w:proofErr w:type="spellEnd"/>
      <w:r w:rsidR="007B66EE">
        <w:rPr>
          <w:lang w:val="en-US"/>
        </w:rPr>
        <w:t xml:space="preserve"> for the repetitions of a PUSCH</w:t>
      </w:r>
      <w:r w:rsidR="00FA6AB5">
        <w:rPr>
          <w:lang w:val="en-US"/>
        </w:rPr>
        <w:t xml:space="preserve"> </w:t>
      </w:r>
      <w:r w:rsidR="007B66EE">
        <w:rPr>
          <w:lang w:val="en-US"/>
        </w:rPr>
        <w:t>i</w:t>
      </w:r>
      <w:r w:rsidR="00FA6AB5">
        <w:rPr>
          <w:lang w:val="en-US"/>
        </w:rPr>
        <w:t xml:space="preserve">n SBFD slots, while </w:t>
      </w:r>
      <w:r w:rsidR="007B66EE">
        <w:rPr>
          <w:lang w:val="en-US"/>
        </w:rPr>
        <w:t>the usual single-slot repetition is used for the repetitions of the PUSCH in non-SBFD slots.</w:t>
      </w:r>
      <w:r w:rsidR="00E77E18">
        <w:rPr>
          <w:lang w:val="en-US"/>
        </w:rPr>
        <w:t xml:space="preserve"> Other approaches, e.g., using different density of DMRS symbols or different waveform</w:t>
      </w:r>
      <w:r w:rsidR="00AD708B">
        <w:rPr>
          <w:lang w:val="en-US"/>
        </w:rPr>
        <w:t>s</w:t>
      </w:r>
      <w:r w:rsidR="00E77E18">
        <w:rPr>
          <w:lang w:val="en-US"/>
        </w:rPr>
        <w:t xml:space="preserve"> for the transmissions on different slot type</w:t>
      </w:r>
      <w:r w:rsidR="00AD708B">
        <w:rPr>
          <w:lang w:val="en-US"/>
        </w:rPr>
        <w:t>s</w:t>
      </w:r>
      <w:r w:rsidR="00E77E18">
        <w:rPr>
          <w:lang w:val="en-US"/>
        </w:rPr>
        <w:t>, should also be considered to complete the study.</w:t>
      </w:r>
      <w:r w:rsidR="008835CC">
        <w:rPr>
          <w:lang w:val="en-US"/>
        </w:rPr>
        <w:t xml:space="preserve"> </w:t>
      </w:r>
    </w:p>
    <w:p w14:paraId="78BCF6E8" w14:textId="3084E420" w:rsidR="00EC37CA" w:rsidRPr="0051179C" w:rsidRDefault="00EC37CA" w:rsidP="00216588">
      <w:pPr>
        <w:jc w:val="both"/>
        <w:rPr>
          <w:lang w:val="en-US"/>
        </w:rPr>
      </w:pPr>
      <w:r>
        <w:rPr>
          <w:lang w:val="en-US"/>
        </w:rPr>
        <w:t>It's worth also mentioning that,</w:t>
      </w:r>
      <w:r w:rsidR="008134F0">
        <w:rPr>
          <w:lang w:val="en-US"/>
        </w:rPr>
        <w:t xml:space="preserve"> </w:t>
      </w:r>
      <w:r>
        <w:rPr>
          <w:lang w:val="en-US"/>
        </w:rPr>
        <w:t>using different number of RBs for</w:t>
      </w:r>
      <w:r w:rsidR="00525B71">
        <w:rPr>
          <w:lang w:val="en-US"/>
        </w:rPr>
        <w:t xml:space="preserve"> UL</w:t>
      </w:r>
      <w:r>
        <w:rPr>
          <w:lang w:val="en-US"/>
        </w:rPr>
        <w:t xml:space="preserve"> transmission</w:t>
      </w:r>
      <w:r w:rsidR="008134F0">
        <w:rPr>
          <w:lang w:val="en-US"/>
        </w:rPr>
        <w:t>s</w:t>
      </w:r>
      <w:r>
        <w:rPr>
          <w:lang w:val="en-US"/>
        </w:rPr>
        <w:t xml:space="preserve"> in SBFD</w:t>
      </w:r>
      <w:r w:rsidR="00525B71">
        <w:rPr>
          <w:lang w:val="en-US"/>
        </w:rPr>
        <w:t xml:space="preserve"> </w:t>
      </w:r>
      <w:r w:rsidR="005E6D99">
        <w:rPr>
          <w:lang w:val="en-US"/>
        </w:rPr>
        <w:t xml:space="preserve">slots </w:t>
      </w:r>
      <w:r w:rsidR="008134F0">
        <w:rPr>
          <w:lang w:val="en-US"/>
        </w:rPr>
        <w:t>(e.g., a smaller number of RBs)</w:t>
      </w:r>
      <w:r w:rsidR="005E6D99">
        <w:rPr>
          <w:lang w:val="en-US"/>
        </w:rPr>
        <w:t xml:space="preserve"> compared to that in non-SBFD slots</w:t>
      </w:r>
      <w:r>
        <w:rPr>
          <w:lang w:val="en-US"/>
        </w:rPr>
        <w:t xml:space="preserve"> </w:t>
      </w:r>
      <w:r w:rsidR="008134F0">
        <w:rPr>
          <w:lang w:val="en-US"/>
        </w:rPr>
        <w:t>has benefit in increasing</w:t>
      </w:r>
      <w:r w:rsidR="005E6D99">
        <w:rPr>
          <w:lang w:val="en-US"/>
        </w:rPr>
        <w:t xml:space="preserve"> energy per resource element</w:t>
      </w:r>
      <w:r w:rsidR="008134F0">
        <w:rPr>
          <w:lang w:val="en-US"/>
        </w:rPr>
        <w:t xml:space="preserve"> </w:t>
      </w:r>
      <w:r w:rsidR="005E6D99">
        <w:rPr>
          <w:lang w:val="en-US"/>
        </w:rPr>
        <w:t>(</w:t>
      </w:r>
      <w:r w:rsidR="008134F0">
        <w:rPr>
          <w:lang w:val="en-US"/>
        </w:rPr>
        <w:t>EPRE</w:t>
      </w:r>
      <w:r w:rsidR="005E6D99">
        <w:rPr>
          <w:lang w:val="en-US"/>
        </w:rPr>
        <w:t>)</w:t>
      </w:r>
      <w:r w:rsidR="008134F0">
        <w:rPr>
          <w:lang w:val="en-US"/>
        </w:rPr>
        <w:t xml:space="preserve"> to cope with CLI</w:t>
      </w:r>
      <w:r w:rsidR="00D82B4E">
        <w:rPr>
          <w:lang w:val="en-US"/>
        </w:rPr>
        <w:t xml:space="preserve">, however this benefit is only </w:t>
      </w:r>
      <w:r w:rsidR="00525B71">
        <w:rPr>
          <w:lang w:val="en-US"/>
        </w:rPr>
        <w:t>materialized</w:t>
      </w:r>
      <w:r w:rsidR="00D82B4E">
        <w:rPr>
          <w:lang w:val="en-US"/>
        </w:rPr>
        <w:t xml:space="preserve"> when UE keeps the same transmit power </w:t>
      </w:r>
      <w:r w:rsidR="005E6D99">
        <w:rPr>
          <w:lang w:val="en-US"/>
        </w:rPr>
        <w:t xml:space="preserve">for the transmissions in SBFD and non-SBFD slots. In other words, with a same transmit power, the transmission in SBFD slots with smaller number of RBs will have higher EPRE and cope better with CLI. However, in case the CLI is not critical (and it’s up to gNB measurement), different transmit powers could also be applied for the transmissions in SBFD and non-SBFD slots for power saving. </w:t>
      </w:r>
    </w:p>
    <w:p w14:paraId="16C90214" w14:textId="2008DFE0" w:rsidR="004770EE" w:rsidRDefault="001556DC" w:rsidP="007A1F71">
      <w:pPr>
        <w:pStyle w:val="Proposal"/>
        <w:spacing w:before="0" w:after="0"/>
      </w:pPr>
      <w:bookmarkStart w:id="970" w:name="_Toc142394832"/>
      <w:bookmarkStart w:id="971" w:name="_Toc142394924"/>
      <w:bookmarkStart w:id="972" w:name="_Toc142397670"/>
      <w:bookmarkStart w:id="973" w:name="_Toc142397768"/>
      <w:bookmarkStart w:id="974" w:name="_Toc142397975"/>
      <w:bookmarkStart w:id="975" w:name="_Toc142399702"/>
      <w:bookmarkStart w:id="976" w:name="_Toc142400788"/>
      <w:bookmarkStart w:id="977" w:name="_Toc142400886"/>
      <w:bookmarkStart w:id="978" w:name="_Toc142400984"/>
      <w:bookmarkStart w:id="979" w:name="_Toc142401094"/>
      <w:bookmarkStart w:id="980" w:name="_Toc142401267"/>
      <w:bookmarkStart w:id="981" w:name="_Toc142466611"/>
      <w:bookmarkStart w:id="982" w:name="_Toc142481231"/>
      <w:bookmarkStart w:id="983" w:name="_Toc142482045"/>
      <w:r>
        <w:t xml:space="preserve">For </w:t>
      </w:r>
      <w:r w:rsidRPr="001556DC">
        <w:t xml:space="preserve">Scheduled/configured </w:t>
      </w:r>
      <w:proofErr w:type="spellStart"/>
      <w:r w:rsidRPr="001556DC">
        <w:t>TBoMS</w:t>
      </w:r>
      <w:proofErr w:type="spellEnd"/>
      <w:r w:rsidRPr="001556DC">
        <w:t xml:space="preserve"> across SBFD symbols and non-SBFD symbols</w:t>
      </w:r>
      <w:r w:rsidR="004770EE">
        <w:t>,</w:t>
      </w:r>
      <w:r w:rsidRPr="001556DC">
        <w:t xml:space="preserve"> with or without repetition</w:t>
      </w:r>
      <w:r w:rsidR="001B7E4E">
        <w:t>:</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001B7E4E">
        <w:t xml:space="preserve"> </w:t>
      </w:r>
    </w:p>
    <w:p w14:paraId="09B09044" w14:textId="177B92B6" w:rsidR="004D7BFC" w:rsidRPr="00316A81" w:rsidRDefault="004D7BFC" w:rsidP="007A1F71">
      <w:pPr>
        <w:pStyle w:val="Proposal"/>
        <w:numPr>
          <w:ilvl w:val="0"/>
          <w:numId w:val="153"/>
        </w:numPr>
        <w:spacing w:before="0" w:after="0"/>
      </w:pPr>
      <w:bookmarkStart w:id="984" w:name="_Toc142397671"/>
      <w:bookmarkStart w:id="985" w:name="_Toc142397769"/>
      <w:bookmarkStart w:id="986" w:name="_Toc142397976"/>
      <w:bookmarkStart w:id="987" w:name="_Toc142399703"/>
      <w:bookmarkStart w:id="988" w:name="_Toc142400789"/>
      <w:bookmarkStart w:id="989" w:name="_Toc142400887"/>
      <w:bookmarkStart w:id="990" w:name="_Toc142400985"/>
      <w:bookmarkStart w:id="991" w:name="_Toc142401095"/>
      <w:bookmarkStart w:id="992" w:name="_Toc142401268"/>
      <w:bookmarkStart w:id="993" w:name="_Toc142466612"/>
      <w:bookmarkStart w:id="994" w:name="_Toc142481232"/>
      <w:bookmarkStart w:id="995" w:name="_Toc142482046"/>
      <w:r w:rsidRPr="00316A81">
        <w:t xml:space="preserve">consider different number of RBs for the repetitions (or the slots of a </w:t>
      </w:r>
      <w:proofErr w:type="spellStart"/>
      <w:r w:rsidRPr="00316A81">
        <w:t>TBoMS</w:t>
      </w:r>
      <w:proofErr w:type="spellEnd"/>
      <w:r w:rsidRPr="00316A81">
        <w:t xml:space="preserve">) in SBFD slots compared to the repetitions (or the slots of the </w:t>
      </w:r>
      <w:proofErr w:type="spellStart"/>
      <w:r w:rsidRPr="00316A81">
        <w:t>TBoMS</w:t>
      </w:r>
      <w:proofErr w:type="spellEnd"/>
      <w:r w:rsidRPr="00316A81">
        <w:t>) in non-SBFD slots</w:t>
      </w:r>
      <w:bookmarkEnd w:id="984"/>
      <w:bookmarkEnd w:id="985"/>
      <w:bookmarkEnd w:id="986"/>
      <w:bookmarkEnd w:id="987"/>
      <w:bookmarkEnd w:id="988"/>
      <w:bookmarkEnd w:id="989"/>
      <w:bookmarkEnd w:id="990"/>
      <w:bookmarkEnd w:id="991"/>
      <w:bookmarkEnd w:id="992"/>
      <w:bookmarkEnd w:id="993"/>
      <w:bookmarkEnd w:id="994"/>
      <w:bookmarkEnd w:id="995"/>
      <w:r w:rsidRPr="00316A81" w:rsidDel="007F4547">
        <w:t xml:space="preserve"> </w:t>
      </w:r>
    </w:p>
    <w:p w14:paraId="73F73A0C" w14:textId="77777777" w:rsidR="000E1245" w:rsidRPr="00316A81" w:rsidRDefault="00BF4D35" w:rsidP="007A1F71">
      <w:pPr>
        <w:pStyle w:val="Proposal"/>
        <w:numPr>
          <w:ilvl w:val="0"/>
          <w:numId w:val="153"/>
        </w:numPr>
        <w:spacing w:before="0" w:after="0"/>
      </w:pPr>
      <w:bookmarkStart w:id="996" w:name="_Toc142397672"/>
      <w:bookmarkStart w:id="997" w:name="_Toc142397770"/>
      <w:bookmarkStart w:id="998" w:name="_Toc142397977"/>
      <w:bookmarkStart w:id="999" w:name="_Toc142399704"/>
      <w:bookmarkStart w:id="1000" w:name="_Toc142400790"/>
      <w:bookmarkStart w:id="1001" w:name="_Toc142400888"/>
      <w:bookmarkStart w:id="1002" w:name="_Toc142400986"/>
      <w:bookmarkStart w:id="1003" w:name="_Toc142401096"/>
      <w:bookmarkStart w:id="1004" w:name="_Toc142401269"/>
      <w:bookmarkStart w:id="1005" w:name="_Toc142466613"/>
      <w:bookmarkStart w:id="1006" w:name="_Toc142481233"/>
      <w:bookmarkStart w:id="1007" w:name="_Toc142482047"/>
      <w:r w:rsidRPr="00316A81">
        <w:t xml:space="preserve">combine both repetitions and </w:t>
      </w:r>
      <w:proofErr w:type="spellStart"/>
      <w:r w:rsidRPr="00316A81">
        <w:t>TBoMS</w:t>
      </w:r>
      <w:proofErr w:type="spellEnd"/>
      <w:r w:rsidRPr="00316A81">
        <w:t xml:space="preserve">, for example applying </w:t>
      </w:r>
      <w:proofErr w:type="spellStart"/>
      <w:r w:rsidRPr="00316A81">
        <w:t>TBoMS</w:t>
      </w:r>
      <w:proofErr w:type="spellEnd"/>
      <w:r w:rsidRPr="00316A81">
        <w:t xml:space="preserve"> for the repetitions of a PUSCH in SBFD slots, while the usual single-slot repetition is used for the repetitions of the PUSCH in non-SBFD slots</w:t>
      </w:r>
      <w:bookmarkEnd w:id="996"/>
      <w:bookmarkEnd w:id="997"/>
      <w:bookmarkEnd w:id="998"/>
      <w:bookmarkEnd w:id="999"/>
      <w:bookmarkEnd w:id="1000"/>
      <w:bookmarkEnd w:id="1001"/>
      <w:bookmarkEnd w:id="1002"/>
      <w:bookmarkEnd w:id="1003"/>
      <w:bookmarkEnd w:id="1004"/>
      <w:bookmarkEnd w:id="1005"/>
      <w:bookmarkEnd w:id="1006"/>
      <w:bookmarkEnd w:id="1007"/>
    </w:p>
    <w:p w14:paraId="641BF847" w14:textId="77777777" w:rsidR="00F2332A" w:rsidRPr="00316A81" w:rsidRDefault="000E1245" w:rsidP="007A1F71">
      <w:pPr>
        <w:pStyle w:val="Proposal"/>
        <w:numPr>
          <w:ilvl w:val="0"/>
          <w:numId w:val="153"/>
        </w:numPr>
        <w:spacing w:before="0" w:after="0"/>
      </w:pPr>
      <w:bookmarkStart w:id="1008" w:name="_Toc142397673"/>
      <w:bookmarkStart w:id="1009" w:name="_Toc142397771"/>
      <w:bookmarkStart w:id="1010" w:name="_Toc142397978"/>
      <w:bookmarkStart w:id="1011" w:name="_Toc142399705"/>
      <w:bookmarkStart w:id="1012" w:name="_Toc142400791"/>
      <w:bookmarkStart w:id="1013" w:name="_Toc142400889"/>
      <w:bookmarkStart w:id="1014" w:name="_Toc142400987"/>
      <w:bookmarkStart w:id="1015" w:name="_Toc142401097"/>
      <w:bookmarkStart w:id="1016" w:name="_Toc142401270"/>
      <w:bookmarkStart w:id="1017" w:name="_Toc142466614"/>
      <w:bookmarkStart w:id="1018" w:name="_Toc142481234"/>
      <w:bookmarkStart w:id="1019" w:name="_Toc142482048"/>
      <w:r w:rsidRPr="00316A81">
        <w:t>Use of different</w:t>
      </w:r>
      <w:r w:rsidR="00C0140B" w:rsidRPr="00316A81">
        <w:t xml:space="preserve"> density of DMRS symbols in SBFD and non-SBFD symbols</w:t>
      </w:r>
      <w:bookmarkEnd w:id="1008"/>
      <w:bookmarkEnd w:id="1009"/>
      <w:bookmarkEnd w:id="1010"/>
      <w:bookmarkEnd w:id="1011"/>
      <w:bookmarkEnd w:id="1012"/>
      <w:bookmarkEnd w:id="1013"/>
      <w:bookmarkEnd w:id="1014"/>
      <w:bookmarkEnd w:id="1015"/>
      <w:bookmarkEnd w:id="1016"/>
      <w:bookmarkEnd w:id="1017"/>
      <w:bookmarkEnd w:id="1018"/>
      <w:bookmarkEnd w:id="1019"/>
    </w:p>
    <w:p w14:paraId="71F4E05B" w14:textId="0862B49F" w:rsidR="00437E81" w:rsidRPr="00316A81" w:rsidRDefault="00F2332A" w:rsidP="007A1F71">
      <w:pPr>
        <w:pStyle w:val="Proposal"/>
        <w:numPr>
          <w:ilvl w:val="0"/>
          <w:numId w:val="153"/>
        </w:numPr>
        <w:spacing w:before="0" w:after="0"/>
      </w:pPr>
      <w:bookmarkStart w:id="1020" w:name="_Toc142397674"/>
      <w:bookmarkStart w:id="1021" w:name="_Toc142397772"/>
      <w:bookmarkStart w:id="1022" w:name="_Toc142397979"/>
      <w:bookmarkStart w:id="1023" w:name="_Toc142399706"/>
      <w:bookmarkStart w:id="1024" w:name="_Toc142400792"/>
      <w:bookmarkStart w:id="1025" w:name="_Toc142400890"/>
      <w:bookmarkStart w:id="1026" w:name="_Toc142400988"/>
      <w:bookmarkStart w:id="1027" w:name="_Toc142401098"/>
      <w:bookmarkStart w:id="1028" w:name="_Toc142401271"/>
      <w:bookmarkStart w:id="1029" w:name="_Toc142466615"/>
      <w:bookmarkStart w:id="1030" w:name="_Toc142481235"/>
      <w:bookmarkStart w:id="1031" w:name="_Toc142482049"/>
      <w:r w:rsidRPr="00316A81">
        <w:t>Use of different waveforms for the transmissions on different slots</w:t>
      </w:r>
      <w:bookmarkEnd w:id="1020"/>
      <w:bookmarkEnd w:id="1021"/>
      <w:bookmarkEnd w:id="1022"/>
      <w:bookmarkEnd w:id="1023"/>
      <w:bookmarkEnd w:id="1024"/>
      <w:bookmarkEnd w:id="1025"/>
      <w:bookmarkEnd w:id="1026"/>
      <w:bookmarkEnd w:id="1027"/>
      <w:bookmarkEnd w:id="1028"/>
      <w:bookmarkEnd w:id="1029"/>
      <w:bookmarkEnd w:id="1030"/>
      <w:bookmarkEnd w:id="1031"/>
    </w:p>
    <w:p w14:paraId="40D90E46" w14:textId="77777777" w:rsidR="001B5D4D" w:rsidRPr="00F9553B" w:rsidRDefault="001B5D4D" w:rsidP="007A1F71">
      <w:pPr>
        <w:pStyle w:val="ListParagraph"/>
        <w:jc w:val="both"/>
        <w:rPr>
          <w:b/>
          <w:lang w:val="en-US"/>
        </w:rPr>
      </w:pPr>
    </w:p>
    <w:p w14:paraId="78C8D1C5" w14:textId="41A3F0A9" w:rsidR="00883A36" w:rsidRPr="001B5D4D" w:rsidRDefault="00C668BE" w:rsidP="007A1F71">
      <w:pPr>
        <w:pStyle w:val="Heading5"/>
        <w:rPr>
          <w:lang w:val="en-US"/>
        </w:rPr>
      </w:pPr>
      <w:r w:rsidRPr="001B5D4D">
        <w:rPr>
          <w:lang w:val="en-US"/>
        </w:rPr>
        <w:t>PDCCH</w:t>
      </w:r>
    </w:p>
    <w:p w14:paraId="0E3299FA" w14:textId="77777777" w:rsidR="00BC71B9" w:rsidRDefault="00BC71B9" w:rsidP="00BC71B9">
      <w:pPr>
        <w:spacing w:before="120"/>
        <w:jc w:val="both"/>
        <w:rPr>
          <w:lang w:val="en-US"/>
        </w:rPr>
      </w:pPr>
      <w:r w:rsidRPr="001A2E4E">
        <w:rPr>
          <w:lang w:val="en-US"/>
        </w:rPr>
        <w:t>The control resource set (</w:t>
      </w:r>
      <w:r w:rsidRPr="001A2E4E">
        <w:rPr>
          <w:shd w:val="clear" w:color="auto" w:fill="FFFFFF"/>
          <w:lang w:val="en-US"/>
        </w:rPr>
        <w:t xml:space="preserve">CORESET) and the Search Space (SS) configurations identify a set of physical frequency and time resources and a set of parameters that is used to carry PDCCH/DCI. The NR CORESET region can be localized to a specific region in frequency domain, which is not necessarily spread across the whole channel bandwidth, though it must be confined within the UE BWP. </w:t>
      </w:r>
      <w:r w:rsidRPr="001A2E4E">
        <w:rPr>
          <w:lang w:val="en-US"/>
        </w:rPr>
        <w:t xml:space="preserve">The CORESET configuration is quite flexible and uses a bitmap of 6 RBs per bit to indicate which PRBs are part of the CORESET. </w:t>
      </w:r>
    </w:p>
    <w:p w14:paraId="4649C152" w14:textId="1A544C02" w:rsidR="00BC71B9" w:rsidRPr="001A2E4E" w:rsidRDefault="00BC71B9" w:rsidP="00BC71B9">
      <w:pPr>
        <w:spacing w:after="120"/>
        <w:jc w:val="both"/>
        <w:rPr>
          <w:lang w:val="en-US"/>
        </w:rPr>
      </w:pPr>
      <w:r w:rsidRPr="001A2E4E">
        <w:rPr>
          <w:lang w:val="en-US"/>
        </w:rPr>
        <w:t xml:space="preserve">With SBFD operation at the gNB, </w:t>
      </w:r>
      <w:bookmarkStart w:id="1032" w:name="_Hlk94874485"/>
      <w:r w:rsidRPr="001A2E4E">
        <w:rPr>
          <w:lang w:val="en-US"/>
        </w:rPr>
        <w:t xml:space="preserve">the portion of the cell bandwidth that is </w:t>
      </w:r>
      <w:r>
        <w:rPr>
          <w:lang w:val="en-US"/>
        </w:rPr>
        <w:t xml:space="preserve">available for </w:t>
      </w:r>
      <w:r w:rsidRPr="001A2E4E">
        <w:rPr>
          <w:lang w:val="en-US"/>
        </w:rPr>
        <w:t xml:space="preserve">DL </w:t>
      </w:r>
      <w:r>
        <w:rPr>
          <w:lang w:val="en-US"/>
        </w:rPr>
        <w:t xml:space="preserve">transmissions </w:t>
      </w:r>
      <w:bookmarkEnd w:id="1032"/>
      <w:r w:rsidRPr="001A2E4E">
        <w:rPr>
          <w:lang w:val="en-US"/>
        </w:rPr>
        <w:t xml:space="preserve">may dynamically change from slot/symbol to slot/symbol. While PDSCH transmissions can typically be contained in the corresponding DL </w:t>
      </w:r>
      <w:r>
        <w:rPr>
          <w:lang w:val="en-US"/>
        </w:rPr>
        <w:t>subband</w:t>
      </w:r>
      <w:r w:rsidRPr="001A2E4E">
        <w:rPr>
          <w:lang w:val="en-US"/>
        </w:rPr>
        <w:t xml:space="preserve"> by scheduling the UE in the corresponding frequency resources, adapting semi-statically allocated resources such as PDCCH/CORESET configuration may be more challenging</w:t>
      </w:r>
      <w:r w:rsidR="001160FD">
        <w:rPr>
          <w:lang w:val="en-US"/>
        </w:rPr>
        <w:t xml:space="preserve">. </w:t>
      </w:r>
      <w:r>
        <w:rPr>
          <w:lang w:val="en-US"/>
        </w:rPr>
        <w:t>I</w:t>
      </w:r>
      <w:r w:rsidRPr="001A2E4E">
        <w:rPr>
          <w:lang w:val="en-US"/>
        </w:rPr>
        <w:t>f</w:t>
      </w:r>
      <w:r w:rsidR="001160FD">
        <w:rPr>
          <w:lang w:val="en-US"/>
        </w:rPr>
        <w:t xml:space="preserve">, </w:t>
      </w:r>
      <w:r w:rsidRPr="001A2E4E">
        <w:rPr>
          <w:lang w:val="en-US"/>
        </w:rPr>
        <w:t>at any time during a SBFD symbol</w:t>
      </w:r>
      <w:r w:rsidR="001160FD">
        <w:rPr>
          <w:lang w:val="en-US"/>
        </w:rPr>
        <w:t xml:space="preserve">, </w:t>
      </w:r>
      <w:r w:rsidRPr="001A2E4E">
        <w:rPr>
          <w:lang w:val="en-US"/>
        </w:rPr>
        <w:t>the PDCCH CORESET overlaps with the UL</w:t>
      </w:r>
      <w:r w:rsidR="001160FD">
        <w:rPr>
          <w:lang w:val="en-US"/>
        </w:rPr>
        <w:t xml:space="preserve"> subband</w:t>
      </w:r>
      <w:r w:rsidRPr="001A2E4E">
        <w:rPr>
          <w:lang w:val="en-US"/>
        </w:rPr>
        <w:t xml:space="preserve">, then it may occur that some PDCCH candidates are partially or fully on the UL subband, and they may therefore not be used. This has obviously negative impacts on the UE power consumption and on the effective use of PDCCH resources, which may indirectly result in a capacity loss.  </w:t>
      </w:r>
    </w:p>
    <w:p w14:paraId="168A34CB" w14:textId="77777777" w:rsidR="00BC71B9" w:rsidRDefault="00BC71B9" w:rsidP="00BC71B9">
      <w:pPr>
        <w:spacing w:after="120"/>
        <w:jc w:val="both"/>
        <w:rPr>
          <w:lang w:val="en-US"/>
        </w:rPr>
      </w:pPr>
      <w:r w:rsidRPr="001A2E4E">
        <w:rPr>
          <w:lang w:val="en-US"/>
        </w:rPr>
        <w:t>To avoid this</w:t>
      </w:r>
      <w:r>
        <w:rPr>
          <w:lang w:val="en-US"/>
        </w:rPr>
        <w:t xml:space="preserve">, some options exist with current specifications. </w:t>
      </w:r>
    </w:p>
    <w:p w14:paraId="4F180698" w14:textId="77777777" w:rsidR="00BC71B9" w:rsidRPr="00177443" w:rsidRDefault="00BC71B9">
      <w:pPr>
        <w:pStyle w:val="ListParagraph"/>
        <w:numPr>
          <w:ilvl w:val="0"/>
          <w:numId w:val="20"/>
        </w:numPr>
        <w:spacing w:after="120"/>
        <w:jc w:val="both"/>
        <w:rPr>
          <w:sz w:val="20"/>
          <w:szCs w:val="20"/>
          <w:lang w:val="en-US"/>
        </w:rPr>
      </w:pPr>
      <w:r w:rsidRPr="00177443">
        <w:rPr>
          <w:sz w:val="20"/>
          <w:szCs w:val="20"/>
          <w:u w:val="single"/>
          <w:lang w:val="en-US"/>
        </w:rPr>
        <w:t xml:space="preserve">PDCCH </w:t>
      </w:r>
      <w:r>
        <w:rPr>
          <w:sz w:val="20"/>
          <w:szCs w:val="20"/>
          <w:u w:val="single"/>
          <w:lang w:val="en-US"/>
        </w:rPr>
        <w:t>is only</w:t>
      </w:r>
      <w:r w:rsidRPr="00177443">
        <w:rPr>
          <w:sz w:val="20"/>
          <w:szCs w:val="20"/>
          <w:u w:val="single"/>
          <w:lang w:val="en-US"/>
        </w:rPr>
        <w:t xml:space="preserve"> transmitted in DL-only symbols</w:t>
      </w:r>
      <w:r w:rsidRPr="00177443">
        <w:rPr>
          <w:sz w:val="20"/>
          <w:szCs w:val="20"/>
          <w:lang w:val="en-US"/>
        </w:rPr>
        <w:t xml:space="preserve">. This implicitly limits the availability of SBFD symbols, thus impacting the expected UL gain. </w:t>
      </w:r>
    </w:p>
    <w:p w14:paraId="67C1CD8F" w14:textId="77777777" w:rsidR="00BC71B9" w:rsidRPr="00177443" w:rsidRDefault="00BC71B9">
      <w:pPr>
        <w:pStyle w:val="ListParagraph"/>
        <w:numPr>
          <w:ilvl w:val="0"/>
          <w:numId w:val="20"/>
        </w:numPr>
        <w:spacing w:after="120"/>
        <w:jc w:val="both"/>
        <w:rPr>
          <w:sz w:val="20"/>
          <w:szCs w:val="20"/>
          <w:lang w:val="en-US"/>
        </w:rPr>
      </w:pPr>
      <w:r w:rsidRPr="243FD30A">
        <w:rPr>
          <w:sz w:val="20"/>
          <w:szCs w:val="20"/>
          <w:u w:val="single"/>
          <w:lang w:val="en-US"/>
        </w:rPr>
        <w:t>Configuration of multiple non-overlapping SSs</w:t>
      </w:r>
      <w:r w:rsidRPr="243FD30A">
        <w:rPr>
          <w:sz w:val="20"/>
          <w:szCs w:val="20"/>
          <w:lang w:val="en-US"/>
        </w:rPr>
        <w:t xml:space="preserve"> with different PDCCH CORESET configurations (each one associated to a different slot type). This approach has the clear disadvantage of not supporting dynamic subband location in time domain.</w:t>
      </w:r>
    </w:p>
    <w:p w14:paraId="10F7C6B6" w14:textId="77777777" w:rsidR="00BC71B9" w:rsidRPr="00177443" w:rsidRDefault="00BC71B9">
      <w:pPr>
        <w:pStyle w:val="ListParagraph"/>
        <w:numPr>
          <w:ilvl w:val="0"/>
          <w:numId w:val="20"/>
        </w:numPr>
        <w:spacing w:after="120"/>
        <w:jc w:val="both"/>
        <w:rPr>
          <w:sz w:val="20"/>
          <w:szCs w:val="20"/>
          <w:lang w:val="en-US"/>
        </w:rPr>
      </w:pPr>
      <w:r w:rsidRPr="00177443">
        <w:rPr>
          <w:sz w:val="20"/>
          <w:szCs w:val="20"/>
          <w:lang w:val="en-US"/>
        </w:rPr>
        <w:t xml:space="preserve">To overcome this limitation, the network could configure </w:t>
      </w:r>
      <w:r w:rsidRPr="00972039">
        <w:rPr>
          <w:sz w:val="20"/>
          <w:szCs w:val="20"/>
          <w:u w:val="single"/>
          <w:lang w:val="en-US"/>
        </w:rPr>
        <w:t>multiple overlapping SSs with different CORESET configurations</w:t>
      </w:r>
      <w:r w:rsidRPr="00177443">
        <w:rPr>
          <w:sz w:val="20"/>
          <w:szCs w:val="20"/>
          <w:lang w:val="en-US"/>
        </w:rPr>
        <w:t xml:space="preserve">. As multiple CORESET configurations are available in one slot/symbol, the gNB can decide on which one to use depending on whether the slot/symbol is DL or SBFD. The downside of this approach is that the UE PDCCH blind decode budget may be hit as the UE has to run through two (or more) CORESET hypotheses when doing the blind search. If the UE blind decode budget is exceeded, this may imply that the gNB cannot use some of the CORESET configurations in the corresponding slot (SS with lower configuration index have higher priority), which brings us back to the original problem. </w:t>
      </w:r>
    </w:p>
    <w:p w14:paraId="0C8EECD7" w14:textId="77777777" w:rsidR="00BC71B9" w:rsidRPr="00177443" w:rsidRDefault="00BC71B9">
      <w:pPr>
        <w:pStyle w:val="ListParagraph"/>
        <w:numPr>
          <w:ilvl w:val="0"/>
          <w:numId w:val="20"/>
        </w:numPr>
        <w:spacing w:after="120"/>
        <w:jc w:val="both"/>
        <w:rPr>
          <w:sz w:val="20"/>
          <w:szCs w:val="20"/>
          <w:lang w:val="en-US"/>
        </w:rPr>
      </w:pPr>
      <w:r w:rsidRPr="002D7EFD">
        <w:rPr>
          <w:sz w:val="20"/>
          <w:szCs w:val="20"/>
          <w:u w:val="single"/>
          <w:lang w:val="en-US"/>
        </w:rPr>
        <w:t>Always confine the CORESET in the DL subband</w:t>
      </w:r>
      <w:r w:rsidRPr="00177443">
        <w:rPr>
          <w:sz w:val="20"/>
          <w:szCs w:val="20"/>
          <w:lang w:val="en-US"/>
        </w:rPr>
        <w:t>. This approach has the disadvantage of unnecessarily limiting the PDCCH capacity (due to limited PDCCH bandwidth) in DL-only slots/symbols.</w:t>
      </w:r>
    </w:p>
    <w:p w14:paraId="6220BAD6" w14:textId="77777777" w:rsidR="00BC71B9" w:rsidRPr="00177443" w:rsidRDefault="00BC71B9">
      <w:pPr>
        <w:pStyle w:val="ListParagraph"/>
        <w:numPr>
          <w:ilvl w:val="0"/>
          <w:numId w:val="20"/>
        </w:numPr>
        <w:spacing w:after="120"/>
        <w:jc w:val="both"/>
        <w:rPr>
          <w:sz w:val="20"/>
          <w:szCs w:val="20"/>
          <w:lang w:val="en-US"/>
        </w:rPr>
      </w:pPr>
      <w:r w:rsidRPr="002D7EFD">
        <w:rPr>
          <w:sz w:val="20"/>
          <w:szCs w:val="20"/>
          <w:u w:val="single"/>
          <w:lang w:val="en-US"/>
        </w:rPr>
        <w:t>SSGS functionality specified in R16 for NR-U (and R17 UE power savings) could be reused</w:t>
      </w:r>
      <w:r w:rsidRPr="00177443">
        <w:rPr>
          <w:sz w:val="20"/>
          <w:szCs w:val="20"/>
          <w:lang w:val="en-US"/>
        </w:rPr>
        <w:t>. However, a field in DCI needs to be reserved to indicate on which resources the UE shall perform PDCCH monitoring. Also, there is a delay associated with the signaling. Therefore, SSGS functionality seems not optimized for very frequent SS group switching that may be needed with SBFD.</w:t>
      </w:r>
      <w:r w:rsidRPr="00177443">
        <w:rPr>
          <w:color w:val="000000"/>
          <w:sz w:val="20"/>
          <w:szCs w:val="20"/>
          <w:lang w:val="en-US"/>
        </w:rPr>
        <w:t xml:space="preserve">   </w:t>
      </w:r>
    </w:p>
    <w:p w14:paraId="1CAC8F91" w14:textId="36FF24D0" w:rsidR="00BC71B9" w:rsidRPr="00A40172" w:rsidRDefault="00BC71B9">
      <w:pPr>
        <w:pStyle w:val="Observation"/>
      </w:pPr>
      <w:bookmarkStart w:id="1033" w:name="_Toc142481236"/>
      <w:bookmarkStart w:id="1034" w:name="_Toc142482050"/>
      <w:bookmarkStart w:id="1035" w:name="_Toc142394833"/>
      <w:bookmarkStart w:id="1036" w:name="_Toc142394925"/>
      <w:bookmarkStart w:id="1037" w:name="_Toc142397675"/>
      <w:bookmarkStart w:id="1038" w:name="_Toc142397773"/>
      <w:bookmarkStart w:id="1039" w:name="_Toc142397980"/>
      <w:bookmarkStart w:id="1040" w:name="_Toc142399707"/>
      <w:bookmarkStart w:id="1041" w:name="_Toc142400793"/>
      <w:bookmarkStart w:id="1042" w:name="_Toc142400891"/>
      <w:bookmarkStart w:id="1043" w:name="_Toc142400989"/>
      <w:bookmarkStart w:id="1044" w:name="_Toc142401099"/>
      <w:bookmarkStart w:id="1045" w:name="_Toc142401272"/>
      <w:bookmarkStart w:id="1046" w:name="_Toc142466616"/>
      <w:r>
        <w:t>O</w:t>
      </w:r>
      <w:r w:rsidRPr="00A40172">
        <w:t>ptions available with current standard specifications to provide different CORESET configurations in different slot</w:t>
      </w:r>
      <w:r>
        <w:t>s</w:t>
      </w:r>
      <w:r w:rsidRPr="00A40172">
        <w:t xml:space="preserve">/symbols </w:t>
      </w:r>
      <w:r>
        <w:t xml:space="preserve">all </w:t>
      </w:r>
      <w:r w:rsidRPr="00A40172">
        <w:t>present limitation</w:t>
      </w:r>
      <w:r>
        <w:t>s</w:t>
      </w:r>
      <w:r w:rsidRPr="00A40172">
        <w:t xml:space="preserve"> in terms of either limited flexibility or excessive signaling overhead.</w:t>
      </w:r>
      <w:bookmarkEnd w:id="1033"/>
      <w:bookmarkEnd w:id="1034"/>
      <w:r w:rsidRPr="00A40172">
        <w:t xml:space="preserve"> </w:t>
      </w:r>
      <w:bookmarkEnd w:id="1035"/>
      <w:bookmarkEnd w:id="1036"/>
      <w:bookmarkEnd w:id="1037"/>
      <w:bookmarkEnd w:id="1038"/>
      <w:bookmarkEnd w:id="1039"/>
      <w:bookmarkEnd w:id="1040"/>
      <w:bookmarkEnd w:id="1041"/>
      <w:bookmarkEnd w:id="1042"/>
      <w:bookmarkEnd w:id="1043"/>
      <w:bookmarkEnd w:id="1044"/>
      <w:bookmarkEnd w:id="1045"/>
      <w:bookmarkEnd w:id="1046"/>
    </w:p>
    <w:p w14:paraId="6BD1955B" w14:textId="6CD096EF" w:rsidR="00CE32CA" w:rsidRPr="003A6471" w:rsidRDefault="00CE32CA" w:rsidP="00CE32CA">
      <w:pPr>
        <w:rPr>
          <w:lang w:val="en-US"/>
        </w:rPr>
      </w:pPr>
    </w:p>
    <w:p w14:paraId="50D4F91D" w14:textId="0FDE3A0D" w:rsidR="00CF162C" w:rsidRDefault="00CF162C" w:rsidP="00BC71B9">
      <w:pPr>
        <w:spacing w:after="120"/>
        <w:jc w:val="both"/>
      </w:pPr>
      <w:r>
        <w:t xml:space="preserve">In RAN#113, the following was captured in the TR: </w:t>
      </w:r>
    </w:p>
    <w:tbl>
      <w:tblPr>
        <w:tblStyle w:val="TableGrid"/>
        <w:tblW w:w="0" w:type="auto"/>
        <w:tblLook w:val="04A0" w:firstRow="1" w:lastRow="0" w:firstColumn="1" w:lastColumn="0" w:noHBand="0" w:noVBand="1"/>
      </w:tblPr>
      <w:tblGrid>
        <w:gridCol w:w="9629"/>
      </w:tblGrid>
      <w:tr w:rsidR="00CF162C" w14:paraId="63E32FE0" w14:textId="77777777" w:rsidTr="00CF162C">
        <w:tc>
          <w:tcPr>
            <w:tcW w:w="9629" w:type="dxa"/>
          </w:tcPr>
          <w:p w14:paraId="7F34FEA4" w14:textId="77777777" w:rsidR="00CF162C" w:rsidRPr="006A56B8" w:rsidRDefault="00CF162C" w:rsidP="00CF162C">
            <w:pPr>
              <w:overflowPunct/>
              <w:autoSpaceDE/>
              <w:autoSpaceDN/>
              <w:adjustRightInd/>
              <w:spacing w:after="0"/>
              <w:ind w:left="540"/>
              <w:textAlignment w:val="auto"/>
              <w:rPr>
                <w:rFonts w:ascii="Times" w:eastAsia="Times New Roman" w:hAnsi="Times" w:cs="Times"/>
              </w:rPr>
            </w:pPr>
            <w:r w:rsidRPr="006A56B8">
              <w:rPr>
                <w:rFonts w:ascii="Times" w:eastAsia="Times New Roman" w:hAnsi="Times" w:cs="Times"/>
                <w:highlight w:val="green"/>
              </w:rPr>
              <w:t>Agreement</w:t>
            </w:r>
          </w:p>
          <w:p w14:paraId="2F19C926" w14:textId="77777777" w:rsidR="00CF162C" w:rsidRPr="006A56B8" w:rsidRDefault="00CF162C" w:rsidP="00CF162C">
            <w:pPr>
              <w:overflowPunct/>
              <w:autoSpaceDE/>
              <w:autoSpaceDN/>
              <w:adjustRightInd/>
              <w:spacing w:after="0"/>
              <w:ind w:left="540"/>
              <w:textAlignment w:val="auto"/>
              <w:rPr>
                <w:rFonts w:ascii="Times" w:eastAsia="Times New Roman" w:hAnsi="Times" w:cs="Times"/>
              </w:rPr>
            </w:pPr>
            <w:r w:rsidRPr="006A56B8">
              <w:rPr>
                <w:rFonts w:ascii="Times" w:eastAsia="Times New Roman" w:hAnsi="Times" w:cs="Times"/>
              </w:rPr>
              <w:t>The following conclusion is to be captured in the TR</w:t>
            </w:r>
          </w:p>
          <w:p w14:paraId="0B467C1E" w14:textId="77777777" w:rsidR="00CF162C" w:rsidRPr="006A56B8" w:rsidRDefault="00CF162C" w:rsidP="00CF162C">
            <w:pPr>
              <w:overflowPunct/>
              <w:autoSpaceDE/>
              <w:autoSpaceDN/>
              <w:adjustRightInd/>
              <w:spacing w:after="0"/>
              <w:ind w:left="540"/>
              <w:textAlignment w:val="auto"/>
              <w:rPr>
                <w:rFonts w:ascii="Arial" w:eastAsia="Times New Roman" w:hAnsi="Arial" w:cs="Arial"/>
                <w:sz w:val="16"/>
                <w:szCs w:val="16"/>
              </w:rPr>
            </w:pPr>
            <w:r w:rsidRPr="006A56B8">
              <w:rPr>
                <w:rFonts w:ascii="Arial" w:eastAsia="Times New Roman" w:hAnsi="Arial" w:cs="Arial"/>
                <w:sz w:val="16"/>
                <w:szCs w:val="16"/>
              </w:rPr>
              <w:t xml:space="preserve">gNB can configure a CORESET and a search space in a way such that the MOs of the search space occur in either SBFD or non-SBFD symbols, or the MOs of the search space occur in both SBFD and non-SBFD </w:t>
            </w:r>
            <w:proofErr w:type="gramStart"/>
            <w:r w:rsidRPr="006A56B8">
              <w:rPr>
                <w:rFonts w:ascii="Arial" w:eastAsia="Times New Roman" w:hAnsi="Arial" w:cs="Arial"/>
                <w:sz w:val="16"/>
                <w:szCs w:val="16"/>
              </w:rPr>
              <w:t>symbols</w:t>
            </w:r>
            <w:proofErr w:type="gramEnd"/>
            <w:r w:rsidRPr="006A56B8">
              <w:rPr>
                <w:rFonts w:ascii="Arial" w:eastAsia="Times New Roman" w:hAnsi="Arial" w:cs="Arial"/>
                <w:sz w:val="16"/>
                <w:szCs w:val="16"/>
              </w:rPr>
              <w:t xml:space="preserve"> but the associated CORESET does not overlap the boundary of a DL subband in SBFD symbols.</w:t>
            </w:r>
          </w:p>
          <w:p w14:paraId="2A143F0D" w14:textId="77777777" w:rsidR="00CF162C" w:rsidRPr="006A56B8" w:rsidRDefault="00CF162C" w:rsidP="00CF162C">
            <w:pPr>
              <w:overflowPunct/>
              <w:autoSpaceDE/>
              <w:autoSpaceDN/>
              <w:adjustRightInd/>
              <w:spacing w:after="0"/>
              <w:ind w:left="540"/>
              <w:textAlignment w:val="auto"/>
              <w:rPr>
                <w:rFonts w:ascii="Arial" w:eastAsia="Times New Roman" w:hAnsi="Arial" w:cs="Arial"/>
                <w:sz w:val="16"/>
                <w:szCs w:val="16"/>
              </w:rPr>
            </w:pPr>
            <w:r w:rsidRPr="006A56B8">
              <w:rPr>
                <w:rFonts w:ascii="Arial" w:eastAsia="Times New Roman" w:hAnsi="Arial" w:cs="Arial"/>
                <w:sz w:val="16"/>
                <w:szCs w:val="16"/>
              </w:rPr>
              <w:t>If it is agreed to be beneficial that a CORESET and a search space are configured that the MOs of the search space occur in both SBFD and non-SBFD symbols and the associated CORESET overlaps the boundary of a DL subband in SBFD symbols, at least the following options can be considered for SBFD-aware UE:</w:t>
            </w:r>
          </w:p>
          <w:p w14:paraId="65C39962" w14:textId="77777777" w:rsidR="00CF162C" w:rsidRPr="006A56B8" w:rsidRDefault="00CF162C" w:rsidP="00CF162C">
            <w:pPr>
              <w:numPr>
                <w:ilvl w:val="0"/>
                <w:numId w:val="146"/>
              </w:numPr>
              <w:overflowPunct/>
              <w:autoSpaceDE/>
              <w:autoSpaceDN/>
              <w:adjustRightInd/>
              <w:spacing w:after="0"/>
              <w:textAlignment w:val="center"/>
              <w:rPr>
                <w:rFonts w:ascii="Calibri" w:eastAsia="Times New Roman" w:hAnsi="Calibri" w:cs="Calibri"/>
                <w:sz w:val="22"/>
                <w:szCs w:val="22"/>
                <w:lang w:val="en-US"/>
              </w:rPr>
            </w:pPr>
            <w:r w:rsidRPr="006A56B8">
              <w:rPr>
                <w:rFonts w:ascii="Arial" w:eastAsia="Times New Roman" w:hAnsi="Arial" w:cs="Arial"/>
                <w:sz w:val="16"/>
                <w:szCs w:val="16"/>
                <w:lang w:val="en-US"/>
              </w:rPr>
              <w:t>Option 1: Separate valid resources for the CORESET in SBFD symbols and in non-SBFD symbols.</w:t>
            </w:r>
          </w:p>
          <w:p w14:paraId="1BE01F44" w14:textId="77777777" w:rsidR="00CF162C" w:rsidRPr="006A56B8" w:rsidRDefault="00CF162C" w:rsidP="00CF162C">
            <w:pPr>
              <w:numPr>
                <w:ilvl w:val="0"/>
                <w:numId w:val="146"/>
              </w:numPr>
              <w:overflowPunct/>
              <w:autoSpaceDE/>
              <w:autoSpaceDN/>
              <w:adjustRightInd/>
              <w:spacing w:after="0"/>
              <w:textAlignment w:val="center"/>
              <w:rPr>
                <w:rFonts w:ascii="Calibri" w:eastAsia="Times New Roman" w:hAnsi="Calibri" w:cs="Calibri"/>
                <w:sz w:val="22"/>
                <w:szCs w:val="22"/>
                <w:lang w:val="en-US"/>
              </w:rPr>
            </w:pPr>
            <w:r w:rsidRPr="006A56B8">
              <w:rPr>
                <w:rFonts w:ascii="Arial" w:eastAsia="Times New Roman" w:hAnsi="Arial" w:cs="Arial"/>
                <w:sz w:val="16"/>
                <w:szCs w:val="16"/>
                <w:lang w:val="en-US"/>
              </w:rPr>
              <w:t xml:space="preserve">Option 2: Rate matching or puncturing on the REG(s) of a PDCCH outside DL subband(s). </w:t>
            </w:r>
          </w:p>
          <w:p w14:paraId="001C454E" w14:textId="77777777" w:rsidR="00CF162C" w:rsidRPr="006A56B8" w:rsidRDefault="00CF162C" w:rsidP="00CF162C">
            <w:pPr>
              <w:numPr>
                <w:ilvl w:val="0"/>
                <w:numId w:val="146"/>
              </w:numPr>
              <w:overflowPunct/>
              <w:autoSpaceDE/>
              <w:autoSpaceDN/>
              <w:adjustRightInd/>
              <w:spacing w:after="0"/>
              <w:textAlignment w:val="center"/>
              <w:rPr>
                <w:rFonts w:ascii="Calibri" w:eastAsia="Times New Roman" w:hAnsi="Calibri" w:cs="Calibri"/>
                <w:sz w:val="22"/>
                <w:szCs w:val="22"/>
                <w:lang w:val="en-US"/>
              </w:rPr>
            </w:pPr>
            <w:r w:rsidRPr="006A56B8">
              <w:rPr>
                <w:rFonts w:ascii="Arial" w:eastAsia="Times New Roman" w:hAnsi="Arial" w:cs="Arial"/>
                <w:sz w:val="16"/>
                <w:szCs w:val="16"/>
                <w:lang w:val="en-US"/>
              </w:rPr>
              <w:t>Option 3: UE does not monitor a PDCCH candidate if it is mapped to one or more REs that overlap with REs outside DL subband(s).</w:t>
            </w:r>
          </w:p>
          <w:p w14:paraId="579B6D65" w14:textId="77777777" w:rsidR="00CF162C" w:rsidRPr="006A56B8" w:rsidRDefault="00CF162C" w:rsidP="00CF162C">
            <w:pPr>
              <w:numPr>
                <w:ilvl w:val="0"/>
                <w:numId w:val="146"/>
              </w:numPr>
              <w:overflowPunct/>
              <w:autoSpaceDE/>
              <w:autoSpaceDN/>
              <w:adjustRightInd/>
              <w:spacing w:after="0"/>
              <w:textAlignment w:val="center"/>
              <w:rPr>
                <w:rFonts w:ascii="Calibri" w:eastAsia="Times New Roman" w:hAnsi="Calibri" w:cs="Calibri"/>
                <w:sz w:val="22"/>
                <w:szCs w:val="22"/>
                <w:lang w:val="en-US"/>
              </w:rPr>
            </w:pPr>
            <w:r w:rsidRPr="006A56B8">
              <w:rPr>
                <w:rFonts w:ascii="Arial" w:eastAsia="Times New Roman" w:hAnsi="Arial" w:cs="Arial"/>
                <w:sz w:val="16"/>
                <w:szCs w:val="16"/>
                <w:lang w:val="en-US"/>
              </w:rPr>
              <w:t>Option 4: Drop search space(s) when the associated CORESET overlaps with RBs outside DL subband(s)</w:t>
            </w:r>
          </w:p>
          <w:p w14:paraId="00C08E0B" w14:textId="77777777" w:rsidR="00CF162C" w:rsidRPr="006A56B8" w:rsidRDefault="00CF162C" w:rsidP="00CF162C">
            <w:pPr>
              <w:numPr>
                <w:ilvl w:val="0"/>
                <w:numId w:val="146"/>
              </w:numPr>
              <w:overflowPunct/>
              <w:autoSpaceDE/>
              <w:autoSpaceDN/>
              <w:adjustRightInd/>
              <w:spacing w:after="0"/>
              <w:textAlignment w:val="center"/>
              <w:rPr>
                <w:rFonts w:ascii="Calibri" w:eastAsia="Times New Roman" w:hAnsi="Calibri" w:cs="Calibri"/>
                <w:sz w:val="22"/>
                <w:szCs w:val="22"/>
                <w:lang w:val="en-US"/>
              </w:rPr>
            </w:pPr>
            <w:r w:rsidRPr="006A56B8">
              <w:rPr>
                <w:rFonts w:ascii="Arial" w:eastAsia="Times New Roman" w:hAnsi="Arial" w:cs="Arial"/>
                <w:sz w:val="16"/>
                <w:szCs w:val="16"/>
                <w:lang w:val="en-US"/>
              </w:rPr>
              <w:t>Option 5: Separate search spaces associated with a CORESET in SBFD and non-SBFD symbols</w:t>
            </w:r>
          </w:p>
          <w:p w14:paraId="7615EF65" w14:textId="77777777" w:rsidR="00CF162C" w:rsidRPr="006A56B8" w:rsidRDefault="00CF162C" w:rsidP="00CF162C">
            <w:pPr>
              <w:overflowPunct/>
              <w:autoSpaceDE/>
              <w:autoSpaceDN/>
              <w:adjustRightInd/>
              <w:spacing w:after="0"/>
              <w:ind w:left="540"/>
              <w:textAlignment w:val="auto"/>
              <w:rPr>
                <w:rFonts w:ascii="Arial" w:eastAsia="Times New Roman" w:hAnsi="Arial" w:cs="Arial"/>
                <w:sz w:val="16"/>
                <w:szCs w:val="16"/>
              </w:rPr>
            </w:pPr>
            <w:r w:rsidRPr="006A56B8">
              <w:rPr>
                <w:rFonts w:ascii="Arial" w:eastAsia="Times New Roman" w:hAnsi="Arial" w:cs="Arial"/>
                <w:sz w:val="16"/>
                <w:szCs w:val="16"/>
              </w:rPr>
              <w:t>Note: These options are applicable to at least USS.</w:t>
            </w:r>
          </w:p>
          <w:p w14:paraId="6F7AE7C3" w14:textId="77777777" w:rsidR="00CF162C" w:rsidRDefault="00CF162C" w:rsidP="00BC71B9">
            <w:pPr>
              <w:spacing w:after="120"/>
              <w:jc w:val="both"/>
            </w:pPr>
          </w:p>
        </w:tc>
      </w:tr>
    </w:tbl>
    <w:p w14:paraId="45CFCF5E" w14:textId="77777777" w:rsidR="00CF162C" w:rsidRPr="005305FB" w:rsidRDefault="00CF162C" w:rsidP="00BC71B9">
      <w:pPr>
        <w:spacing w:after="120"/>
        <w:jc w:val="both"/>
      </w:pPr>
    </w:p>
    <w:p w14:paraId="2228C70C" w14:textId="67A84567" w:rsidR="008B2043" w:rsidRPr="00AD4256" w:rsidRDefault="0000781C" w:rsidP="00BC71B9">
      <w:pPr>
        <w:spacing w:after="120"/>
        <w:jc w:val="both"/>
        <w:rPr>
          <w:lang w:val="en-US"/>
        </w:rPr>
      </w:pPr>
      <w:r>
        <w:rPr>
          <w:lang w:val="en-US"/>
        </w:rPr>
        <w:t>Considering there may be different available resource for PDCCH in SBFD symbol and non-SBFD symbol</w:t>
      </w:r>
      <w:r w:rsidR="00BC71B9" w:rsidRPr="001A2E4E">
        <w:rPr>
          <w:lang w:val="en-US"/>
        </w:rPr>
        <w:t xml:space="preserve">, we propose </w:t>
      </w:r>
      <w:r w:rsidR="00BC71B9" w:rsidRPr="00AD4256">
        <w:rPr>
          <w:lang w:val="en-US"/>
        </w:rPr>
        <w:t xml:space="preserve">that RAN1 studies solutions enabling dynamic adaptation of PDCCH resources based on the occurrence of SBFD symbols and the corresponding DL-UL frequency domain partitioning. </w:t>
      </w:r>
      <w:proofErr w:type="gramStart"/>
      <w:r w:rsidR="00A942C9" w:rsidRPr="00AD4256">
        <w:rPr>
          <w:lang w:val="en-US"/>
        </w:rPr>
        <w:t>Thus</w:t>
      </w:r>
      <w:proofErr w:type="gramEnd"/>
      <w:r w:rsidR="00A942C9" w:rsidRPr="00AD4256">
        <w:rPr>
          <w:lang w:val="en-US"/>
        </w:rPr>
        <w:t xml:space="preserve"> </w:t>
      </w:r>
      <w:r w:rsidR="00DE45AF" w:rsidRPr="00AD4256">
        <w:rPr>
          <w:lang w:val="en-US"/>
        </w:rPr>
        <w:t xml:space="preserve">it can be assumed that the </w:t>
      </w:r>
      <w:r w:rsidR="000D1E75" w:rsidRPr="00AD4256">
        <w:rPr>
          <w:lang w:val="en-US"/>
        </w:rPr>
        <w:t>UE know</w:t>
      </w:r>
      <w:r w:rsidR="00D24D5A" w:rsidRPr="00AD4256">
        <w:rPr>
          <w:lang w:val="en-US"/>
        </w:rPr>
        <w:t>s</w:t>
      </w:r>
      <w:r w:rsidR="000D1E75" w:rsidRPr="00AD4256">
        <w:rPr>
          <w:lang w:val="en-US"/>
        </w:rPr>
        <w:t xml:space="preserve"> </w:t>
      </w:r>
      <w:r w:rsidR="00A942C9" w:rsidRPr="00AD4256">
        <w:rPr>
          <w:lang w:val="en-US"/>
        </w:rPr>
        <w:t xml:space="preserve">different </w:t>
      </w:r>
      <w:r w:rsidR="00D7117B" w:rsidRPr="00AD4256">
        <w:rPr>
          <w:lang w:val="en-US"/>
        </w:rPr>
        <w:t xml:space="preserve">available </w:t>
      </w:r>
      <w:r w:rsidR="00A942C9" w:rsidRPr="00AD4256">
        <w:rPr>
          <w:lang w:val="en-US"/>
        </w:rPr>
        <w:t xml:space="preserve">resource </w:t>
      </w:r>
      <w:r w:rsidR="000D1E75" w:rsidRPr="00AD4256">
        <w:rPr>
          <w:lang w:val="en-US"/>
        </w:rPr>
        <w:t>for</w:t>
      </w:r>
      <w:r w:rsidR="00A942C9" w:rsidRPr="00AD4256">
        <w:rPr>
          <w:lang w:val="en-US"/>
        </w:rPr>
        <w:t xml:space="preserve"> PDCCH </w:t>
      </w:r>
      <w:r w:rsidR="000D1E75" w:rsidRPr="00AD4256">
        <w:rPr>
          <w:lang w:val="en-US"/>
        </w:rPr>
        <w:t xml:space="preserve">in different slot type. </w:t>
      </w:r>
      <w:r w:rsidR="00BC71B9" w:rsidRPr="00AD4256">
        <w:rPr>
          <w:lang w:val="en-US"/>
        </w:rPr>
        <w:t xml:space="preserve">For example, the UE could be provided with multiple PDCCH CORESET configurations per Search Space (SS), </w:t>
      </w:r>
      <w:proofErr w:type="gramStart"/>
      <w:r w:rsidR="00BC71B9" w:rsidRPr="00AD4256">
        <w:rPr>
          <w:lang w:val="en-US"/>
        </w:rPr>
        <w:t>e.g.</w:t>
      </w:r>
      <w:proofErr w:type="gramEnd"/>
      <w:r w:rsidR="00BC71B9" w:rsidRPr="00AD4256">
        <w:rPr>
          <w:lang w:val="en-US"/>
        </w:rPr>
        <w:t xml:space="preserve"> one CORESET configuration associated with DL-only slots/symbols, and one CORESET configuration associated with SBFD slots/symbols</w:t>
      </w:r>
      <w:r w:rsidR="006122EB" w:rsidRPr="00AD4256">
        <w:rPr>
          <w:lang w:val="en-US"/>
        </w:rPr>
        <w:t xml:space="preserve">, in our view this is covered by Option </w:t>
      </w:r>
      <w:r w:rsidR="00DA7C95" w:rsidRPr="00AD4256">
        <w:rPr>
          <w:lang w:val="en-US"/>
        </w:rPr>
        <w:t>1</w:t>
      </w:r>
      <w:r w:rsidR="006122EB" w:rsidRPr="00AD4256">
        <w:rPr>
          <w:lang w:val="en-US"/>
        </w:rPr>
        <w:t xml:space="preserve"> in the agreement from RAN1 #112bis-e meeting</w:t>
      </w:r>
      <w:r w:rsidR="00BC71B9" w:rsidRPr="00AD4256">
        <w:rPr>
          <w:lang w:val="en-US"/>
        </w:rPr>
        <w:t>. The UE determines the CORESET to be used based on the slot/symbol type (signaled by the gNB)</w:t>
      </w:r>
      <w:r w:rsidR="00DD5458" w:rsidRPr="00AD4256">
        <w:rPr>
          <w:lang w:val="en-US"/>
        </w:rPr>
        <w:t xml:space="preserve">, where the CORESET for </w:t>
      </w:r>
      <w:r w:rsidR="00D60F19" w:rsidRPr="00AD4256">
        <w:rPr>
          <w:lang w:val="en-US"/>
        </w:rPr>
        <w:t>SBFD symbol can be fully on DL subband</w:t>
      </w:r>
      <w:r w:rsidR="00BC71B9" w:rsidRPr="00AD4256">
        <w:rPr>
          <w:lang w:val="en-US"/>
        </w:rPr>
        <w:t>. Alternatively, the UE may determine the CORESET to be used based on whether the CORESET time/frequency resources overlap or not with UL subband resources</w:t>
      </w:r>
      <w:r w:rsidR="00970FD5" w:rsidRPr="00AD4256">
        <w:rPr>
          <w:lang w:val="en-US"/>
        </w:rPr>
        <w:t xml:space="preserve">, where the issue of this way may be </w:t>
      </w:r>
      <w:r w:rsidR="002E2824" w:rsidRPr="00AD4256">
        <w:rPr>
          <w:lang w:val="en-US"/>
        </w:rPr>
        <w:t>too much limitation on CORESET utilization as only partial resource in one CORESET may be not in the DL subband</w:t>
      </w:r>
      <w:r w:rsidR="00BC71B9" w:rsidRPr="00AD4256">
        <w:rPr>
          <w:lang w:val="en-US"/>
        </w:rPr>
        <w:t xml:space="preserve">. </w:t>
      </w:r>
      <w:r w:rsidR="001160FD" w:rsidRPr="00AD4256">
        <w:rPr>
          <w:lang w:val="en-US"/>
        </w:rPr>
        <w:t xml:space="preserve">Another option </w:t>
      </w:r>
      <w:r w:rsidR="00165D76" w:rsidRPr="00AD4256">
        <w:rPr>
          <w:lang w:val="en-US"/>
        </w:rPr>
        <w:t xml:space="preserve">is to use different assumptions for </w:t>
      </w:r>
      <w:r w:rsidR="00085193" w:rsidRPr="00AD4256">
        <w:rPr>
          <w:lang w:val="en-US"/>
        </w:rPr>
        <w:t>PDCCH mapping</w:t>
      </w:r>
      <w:r w:rsidR="009A1ADE" w:rsidRPr="00AD4256">
        <w:rPr>
          <w:lang w:val="en-US"/>
        </w:rPr>
        <w:t xml:space="preserve"> in SBFD and non-SBFD slots</w:t>
      </w:r>
      <w:r w:rsidR="00141046" w:rsidRPr="00AD4256">
        <w:rPr>
          <w:lang w:val="en-US"/>
        </w:rPr>
        <w:t xml:space="preserve">, </w:t>
      </w:r>
      <w:proofErr w:type="gramStart"/>
      <w:r w:rsidR="00141046" w:rsidRPr="00AD4256">
        <w:rPr>
          <w:lang w:val="en-US"/>
        </w:rPr>
        <w:t>e.g.</w:t>
      </w:r>
      <w:proofErr w:type="gramEnd"/>
      <w:r w:rsidR="00141046" w:rsidRPr="00AD4256">
        <w:t xml:space="preserve"> PDCCH candidate only map to available CCE/REG </w:t>
      </w:r>
      <w:r w:rsidR="00E84EC0" w:rsidRPr="00AD4256">
        <w:t xml:space="preserve">resources </w:t>
      </w:r>
      <w:r w:rsidR="00141046" w:rsidRPr="00AD4256">
        <w:t>for PDCCH</w:t>
      </w:r>
      <w:r w:rsidR="00BB1005" w:rsidRPr="00AD4256">
        <w:t xml:space="preserve"> in the slot</w:t>
      </w:r>
      <w:r w:rsidR="009A1ADE" w:rsidRPr="00AD4256">
        <w:rPr>
          <w:lang w:val="en-US"/>
        </w:rPr>
        <w:t xml:space="preserve">. </w:t>
      </w:r>
    </w:p>
    <w:p w14:paraId="230C6FC4" w14:textId="31109077" w:rsidR="00BC71B9" w:rsidRPr="001A2E4E" w:rsidRDefault="008B2043" w:rsidP="00BC71B9">
      <w:pPr>
        <w:spacing w:after="120"/>
        <w:jc w:val="both"/>
        <w:rPr>
          <w:lang w:val="en-US"/>
        </w:rPr>
      </w:pPr>
      <w:r w:rsidRPr="00AD4256">
        <w:rPr>
          <w:lang w:val="en-US"/>
        </w:rPr>
        <w:t xml:space="preserve">By any way above, </w:t>
      </w:r>
      <w:r w:rsidR="006B4332" w:rsidRPr="00AD4256">
        <w:rPr>
          <w:lang w:val="en-US"/>
        </w:rPr>
        <w:t>the PDCCH should not be mapped to REG/CCE that is not in DL subband in SBFD symbol</w:t>
      </w:r>
      <w:r w:rsidR="002F6029" w:rsidRPr="00AD4256">
        <w:rPr>
          <w:lang w:val="en-US"/>
        </w:rPr>
        <w:t xml:space="preserve">. </w:t>
      </w:r>
      <w:r w:rsidR="003B2641">
        <w:rPr>
          <w:lang w:val="en-US"/>
        </w:rPr>
        <w:t>W</w:t>
      </w:r>
      <w:r w:rsidR="00ED01E5" w:rsidRPr="00AD4256">
        <w:rPr>
          <w:lang w:val="en-US"/>
        </w:rPr>
        <w:t xml:space="preserve">e </w:t>
      </w:r>
      <w:r w:rsidR="006A1105" w:rsidRPr="00AD4256">
        <w:rPr>
          <w:lang w:val="en-US"/>
        </w:rPr>
        <w:t xml:space="preserve">do not </w:t>
      </w:r>
      <w:r w:rsidR="003B2641">
        <w:rPr>
          <w:lang w:val="en-US"/>
        </w:rPr>
        <w:t>think</w:t>
      </w:r>
      <w:r w:rsidR="003B2641" w:rsidRPr="00AD4256">
        <w:rPr>
          <w:lang w:val="en-US"/>
        </w:rPr>
        <w:t xml:space="preserve"> </w:t>
      </w:r>
      <w:r w:rsidR="006A1105" w:rsidRPr="00AD4256">
        <w:rPr>
          <w:lang w:val="en-US"/>
        </w:rPr>
        <w:t>Option</w:t>
      </w:r>
      <w:r w:rsidR="00D432EC" w:rsidRPr="00AD4256">
        <w:rPr>
          <w:lang w:val="en-US"/>
        </w:rPr>
        <w:t xml:space="preserve">s 2 </w:t>
      </w:r>
      <w:r w:rsidR="003B2641">
        <w:rPr>
          <w:lang w:val="en-US"/>
        </w:rPr>
        <w:t>can work well</w:t>
      </w:r>
      <w:r w:rsidR="004B5D11">
        <w:rPr>
          <w:lang w:val="en-US"/>
        </w:rPr>
        <w:t xml:space="preserve"> as</w:t>
      </w:r>
      <w:r w:rsidR="004B5D11" w:rsidRPr="00AD4256">
        <w:rPr>
          <w:lang w:val="en-US"/>
        </w:rPr>
        <w:t xml:space="preserve"> </w:t>
      </w:r>
      <w:r w:rsidR="004B5D11">
        <w:rPr>
          <w:lang w:val="en-US"/>
        </w:rPr>
        <w:t>r</w:t>
      </w:r>
      <w:r w:rsidR="004B5D11" w:rsidRPr="00AD4256">
        <w:rPr>
          <w:lang w:val="en-US"/>
        </w:rPr>
        <w:t>ate</w:t>
      </w:r>
      <w:r w:rsidR="002F6029" w:rsidRPr="00AD4256">
        <w:rPr>
          <w:lang w:val="en-US"/>
        </w:rPr>
        <w:t xml:space="preserve"> matching in PDCCH around REG/CCE that is not in DL subband will</w:t>
      </w:r>
      <w:r w:rsidR="00D6258D" w:rsidRPr="00AD4256">
        <w:rPr>
          <w:lang w:val="en-US"/>
        </w:rPr>
        <w:t xml:space="preserve"> </w:t>
      </w:r>
      <w:r w:rsidR="007734C3" w:rsidRPr="00AD4256">
        <w:rPr>
          <w:rFonts w:hint="eastAsia"/>
          <w:lang w:val="en-US" w:eastAsia="zh-CN"/>
        </w:rPr>
        <w:t>degrade</w:t>
      </w:r>
      <w:r w:rsidR="007734C3" w:rsidRPr="00AD4256">
        <w:rPr>
          <w:lang w:val="en-US" w:eastAsia="zh-CN"/>
        </w:rPr>
        <w:t xml:space="preserve"> PDCCH performance</w:t>
      </w:r>
      <w:r w:rsidR="00B634CC" w:rsidRPr="00AD4256">
        <w:rPr>
          <w:lang w:val="en-US" w:eastAsia="zh-CN"/>
        </w:rPr>
        <w:t xml:space="preserve">. </w:t>
      </w:r>
      <w:proofErr w:type="gramStart"/>
      <w:r w:rsidR="00B634CC" w:rsidRPr="00AD4256">
        <w:rPr>
          <w:lang w:val="en-US" w:eastAsia="zh-CN"/>
        </w:rPr>
        <w:t>Actually, the</w:t>
      </w:r>
      <w:proofErr w:type="gramEnd"/>
      <w:r w:rsidR="00B634CC" w:rsidRPr="00AD4256">
        <w:rPr>
          <w:lang w:val="en-US" w:eastAsia="zh-CN"/>
        </w:rPr>
        <w:t xml:space="preserve"> PDCCH candidate</w:t>
      </w:r>
      <w:r w:rsidR="00B634CC">
        <w:rPr>
          <w:lang w:val="en-US" w:eastAsia="zh-CN"/>
        </w:rPr>
        <w:t xml:space="preserve"> that may cause PDCCH overlap with </w:t>
      </w:r>
      <w:r w:rsidR="005E2E06">
        <w:rPr>
          <w:rFonts w:hint="eastAsia"/>
          <w:lang w:val="en-US" w:eastAsia="zh-CN"/>
        </w:rPr>
        <w:t>REG</w:t>
      </w:r>
      <w:r w:rsidR="005E2E06">
        <w:rPr>
          <w:lang w:val="en-US" w:eastAsia="zh-CN"/>
        </w:rPr>
        <w:t>/CCE not in DL subband should not be detected by UE</w:t>
      </w:r>
      <w:r w:rsidR="00231898">
        <w:rPr>
          <w:lang w:val="en-US" w:eastAsia="zh-CN"/>
        </w:rPr>
        <w:t xml:space="preserve"> and even should not be counted in blind detection, so that </w:t>
      </w:r>
      <w:r w:rsidR="00FA4EB0">
        <w:rPr>
          <w:lang w:val="en-US" w:eastAsia="zh-CN"/>
        </w:rPr>
        <w:t xml:space="preserve">the performance of PDCCH detection </w:t>
      </w:r>
      <w:r w:rsidR="00732283">
        <w:rPr>
          <w:lang w:val="en-US" w:eastAsia="zh-CN"/>
        </w:rPr>
        <w:t>is not degraded in SBFD cases.</w:t>
      </w:r>
      <w:r w:rsidR="003B2641">
        <w:rPr>
          <w:lang w:val="en-US" w:eastAsia="zh-CN"/>
        </w:rPr>
        <w:t xml:space="preserve"> While for Option 4, when search space </w:t>
      </w:r>
      <w:r w:rsidR="00495563">
        <w:rPr>
          <w:lang w:val="en-US" w:eastAsia="zh-CN"/>
        </w:rPr>
        <w:t xml:space="preserve">overlapped with </w:t>
      </w:r>
      <w:r w:rsidR="0076447F">
        <w:rPr>
          <w:lang w:val="en-US" w:eastAsia="zh-CN"/>
        </w:rPr>
        <w:t>RB(s) outside of DL subband will be dropped, it will be a big restriction on configure the search space</w:t>
      </w:r>
      <w:r w:rsidR="00C93A6D">
        <w:rPr>
          <w:lang w:val="en-US" w:eastAsia="zh-CN"/>
        </w:rPr>
        <w:t xml:space="preserve">, </w:t>
      </w:r>
      <w:r w:rsidR="0054740C">
        <w:rPr>
          <w:lang w:val="en-US" w:eastAsia="zh-CN"/>
        </w:rPr>
        <w:t>especially for common search space</w:t>
      </w:r>
      <w:r w:rsidR="00BC75A6">
        <w:rPr>
          <w:lang w:val="en-US" w:eastAsia="zh-CN"/>
        </w:rPr>
        <w:t>, which may cause always search space for SBFD slot and non-SBFD slot should be configured separately</w:t>
      </w:r>
      <w:r w:rsidR="00294B5D">
        <w:rPr>
          <w:lang w:val="en-US" w:eastAsia="zh-CN"/>
        </w:rPr>
        <w:t>, or PDCCH performance will be impacted when search space is dropped</w:t>
      </w:r>
      <w:r w:rsidR="0054740C">
        <w:rPr>
          <w:lang w:val="en-US" w:eastAsia="zh-CN"/>
        </w:rPr>
        <w:t>.</w:t>
      </w:r>
    </w:p>
    <w:p w14:paraId="7F0BB03C" w14:textId="4E1EE22C" w:rsidR="00AA2B62" w:rsidRPr="00122A42" w:rsidRDefault="00352E52" w:rsidP="00E6426F">
      <w:pPr>
        <w:pStyle w:val="Observation"/>
      </w:pPr>
      <w:bookmarkStart w:id="1047" w:name="_Toc142394834"/>
      <w:bookmarkStart w:id="1048" w:name="_Toc142394926"/>
      <w:bookmarkStart w:id="1049" w:name="_Toc142397676"/>
      <w:bookmarkStart w:id="1050" w:name="_Toc142397774"/>
      <w:bookmarkStart w:id="1051" w:name="_Toc142397981"/>
      <w:bookmarkStart w:id="1052" w:name="_Toc142399708"/>
      <w:bookmarkStart w:id="1053" w:name="_Toc142400794"/>
      <w:bookmarkStart w:id="1054" w:name="_Toc142400892"/>
      <w:bookmarkStart w:id="1055" w:name="_Toc142400990"/>
      <w:bookmarkStart w:id="1056" w:name="_Toc142401100"/>
      <w:bookmarkStart w:id="1057" w:name="_Toc142401273"/>
      <w:bookmarkStart w:id="1058" w:name="_Toc142466617"/>
      <w:bookmarkStart w:id="1059" w:name="_Toc142481237"/>
      <w:bookmarkStart w:id="1060" w:name="_Toc142482051"/>
      <w:r>
        <w:t xml:space="preserve">For </w:t>
      </w:r>
      <w:r w:rsidR="00FB1415">
        <w:t xml:space="preserve">the CORESET/ search space configuration </w:t>
      </w:r>
      <w:r>
        <w:t>Option 2 and Option 4</w:t>
      </w:r>
      <w:r w:rsidR="005E7E6D">
        <w:t xml:space="preserve"> captured in the conclusion of RAN1 #113</w:t>
      </w:r>
      <w:r>
        <w:t xml:space="preserve">, </w:t>
      </w:r>
      <w:r w:rsidR="000E3237">
        <w:t xml:space="preserve">there is performance degradation </w:t>
      </w:r>
      <w:r w:rsidR="007B165C">
        <w:t>when</w:t>
      </w:r>
      <w:r w:rsidR="00A411C7">
        <w:t xml:space="preserve"> the PDCCH </w:t>
      </w:r>
      <w:r w:rsidR="008F09C4">
        <w:t>is mapped on REG/CCE outside of the DL subband</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16538FFC" w14:textId="39C9460B" w:rsidR="00AE040E" w:rsidRPr="00AE040E" w:rsidRDefault="0053004B" w:rsidP="00F61622">
      <w:pPr>
        <w:pStyle w:val="Proposal"/>
        <w:ind w:left="360"/>
      </w:pPr>
      <w:bookmarkStart w:id="1061" w:name="_Toc142397677"/>
      <w:bookmarkStart w:id="1062" w:name="_Toc142397775"/>
      <w:bookmarkStart w:id="1063" w:name="_Toc142397982"/>
      <w:bookmarkStart w:id="1064" w:name="_Toc142399709"/>
      <w:bookmarkStart w:id="1065" w:name="_Toc142400795"/>
      <w:bookmarkStart w:id="1066" w:name="_Toc142400893"/>
      <w:bookmarkStart w:id="1067" w:name="_Toc142400991"/>
      <w:bookmarkStart w:id="1068" w:name="_Toc142401101"/>
      <w:bookmarkStart w:id="1069" w:name="_Toc142401274"/>
      <w:bookmarkStart w:id="1070" w:name="_Toc142397678"/>
      <w:bookmarkStart w:id="1071" w:name="_Toc142397776"/>
      <w:bookmarkStart w:id="1072" w:name="_Toc142397983"/>
      <w:bookmarkStart w:id="1073" w:name="_Toc142399710"/>
      <w:bookmarkStart w:id="1074" w:name="_Toc142400796"/>
      <w:bookmarkStart w:id="1075" w:name="_Toc142400894"/>
      <w:bookmarkStart w:id="1076" w:name="_Toc142400992"/>
      <w:bookmarkStart w:id="1077" w:name="_Toc142401102"/>
      <w:bookmarkStart w:id="1078" w:name="_Toc142401275"/>
      <w:bookmarkStart w:id="1079" w:name="_Toc142394837"/>
      <w:bookmarkStart w:id="1080" w:name="_Toc142394929"/>
      <w:bookmarkStart w:id="1081" w:name="_Toc142397679"/>
      <w:bookmarkStart w:id="1082" w:name="_Toc142397777"/>
      <w:bookmarkStart w:id="1083" w:name="_Toc142397984"/>
      <w:bookmarkStart w:id="1084" w:name="_Toc142399711"/>
      <w:bookmarkStart w:id="1085" w:name="_Toc142400797"/>
      <w:bookmarkStart w:id="1086" w:name="_Toc142400895"/>
      <w:bookmarkStart w:id="1087" w:name="_Toc142400993"/>
      <w:bookmarkStart w:id="1088" w:name="_Toc142401103"/>
      <w:bookmarkStart w:id="1089" w:name="_Toc142401276"/>
      <w:bookmarkStart w:id="1090" w:name="_Toc142466618"/>
      <w:bookmarkStart w:id="1091" w:name="_Toc142481238"/>
      <w:bookmarkStart w:id="1092" w:name="_Toc142482052"/>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t>For th</w:t>
      </w:r>
      <w:r w:rsidR="001F4DB4">
        <w:t xml:space="preserve">e </w:t>
      </w:r>
      <w:r w:rsidR="00217FEB">
        <w:t xml:space="preserve">CORESET/ search space </w:t>
      </w:r>
      <w:r w:rsidR="001F4DB4">
        <w:t>configuration options agreed to be captured in the TR</w:t>
      </w:r>
      <w:r w:rsidR="00217FEB">
        <w:t xml:space="preserve"> in RAN1 #113,</w:t>
      </w:r>
      <w:r w:rsidR="007A645F">
        <w:t xml:space="preserve"> </w:t>
      </w:r>
      <w:r w:rsidR="00AE040E">
        <w:t xml:space="preserve">RAN1 should </w:t>
      </w:r>
      <w:r w:rsidR="007A645F">
        <w:t xml:space="preserve">only </w:t>
      </w:r>
      <w:r w:rsidR="00AE040E">
        <w:t>consider</w:t>
      </w:r>
      <w:r w:rsidR="0035711B">
        <w:t xml:space="preserve"> PDCCH mapping/detection </w:t>
      </w:r>
      <w:r w:rsidR="00CE26F2">
        <w:t>method</w:t>
      </w:r>
      <w:r w:rsidR="007A645F">
        <w:t xml:space="preserve">s in which it can be guaranteed </w:t>
      </w:r>
      <w:r w:rsidR="0014426C">
        <w:t xml:space="preserve">that the </w:t>
      </w:r>
      <w:r w:rsidR="00CE26F2">
        <w:t xml:space="preserve">PDCCH </w:t>
      </w:r>
      <w:r w:rsidR="00FB1415">
        <w:t>is only mapped</w:t>
      </w:r>
      <w:r w:rsidR="00CE26F2">
        <w:t xml:space="preserve"> on </w:t>
      </w:r>
      <w:r w:rsidR="005464BE">
        <w:t xml:space="preserve">DL resource and UE only detect </w:t>
      </w:r>
      <w:r w:rsidR="00AD7D61">
        <w:t xml:space="preserve">the PDCCH candidate on DL resource, so that </w:t>
      </w:r>
      <w:r w:rsidR="007547E7">
        <w:t xml:space="preserve">there is </w:t>
      </w:r>
      <w:r w:rsidR="00AD7D61">
        <w:t xml:space="preserve">no impact on PDCCH </w:t>
      </w:r>
      <w:r w:rsidR="001F446F">
        <w:t xml:space="preserve">detection </w:t>
      </w:r>
      <w:r w:rsidR="00AD7D61">
        <w:t>performance.</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06A4CB1B" w14:textId="5E8E1DE8" w:rsidR="00484EDD" w:rsidRDefault="00484EDD" w:rsidP="005D3542">
      <w:pPr>
        <w:pStyle w:val="Heading3"/>
        <w:rPr>
          <w:lang w:val="en-US"/>
        </w:rPr>
      </w:pPr>
      <w:r>
        <w:rPr>
          <w:lang w:val="en-US"/>
        </w:rPr>
        <w:t>gNB self-interference and Tx/Rx timing alignment aspects</w:t>
      </w:r>
    </w:p>
    <w:p w14:paraId="674C4D0E" w14:textId="77777777" w:rsidR="001138DE" w:rsidRPr="002E4BB4" w:rsidRDefault="001138DE" w:rsidP="001138DE">
      <w:pPr>
        <w:spacing w:after="240"/>
        <w:jc w:val="both"/>
        <w:rPr>
          <w:lang w:val="en-US"/>
        </w:rPr>
      </w:pPr>
      <w:r w:rsidRPr="002E4BB4">
        <w:rPr>
          <w:lang w:val="en-US"/>
        </w:rPr>
        <w:t>In NR, the UE determines the Timing advance (TA) as the sum of a cell specific TA offset and a UE specific TA command (absolute or relative). The cell specific TA offset can be configured by the network in SIB1 (</w:t>
      </w:r>
      <w:bookmarkStart w:id="1093" w:name="n_TimingAdvanceOffset"/>
      <w:r w:rsidRPr="002E4BB4">
        <w:rPr>
          <w:i/>
          <w:iCs/>
          <w:shd w:val="clear" w:color="auto" w:fill="FFFFFF"/>
          <w:lang w:val="en-US"/>
        </w:rPr>
        <w:t>n-</w:t>
      </w:r>
      <w:proofErr w:type="spellStart"/>
      <w:r w:rsidRPr="002E4BB4">
        <w:rPr>
          <w:i/>
          <w:iCs/>
          <w:shd w:val="clear" w:color="auto" w:fill="FFFFFF"/>
          <w:lang w:val="en-US"/>
        </w:rPr>
        <w:t>TimingAdvanceOffset</w:t>
      </w:r>
      <w:bookmarkEnd w:id="1093"/>
      <w:proofErr w:type="spellEnd"/>
      <w:r w:rsidRPr="002E4BB4">
        <w:rPr>
          <w:lang w:val="en-US"/>
        </w:rPr>
        <w:t xml:space="preserve">). If </w:t>
      </w:r>
      <w:r w:rsidRPr="002E4BB4">
        <w:rPr>
          <w:i/>
          <w:iCs/>
          <w:shd w:val="clear" w:color="auto" w:fill="FFFFFF"/>
          <w:lang w:val="en-US"/>
        </w:rPr>
        <w:t>n-</w:t>
      </w:r>
      <w:proofErr w:type="spellStart"/>
      <w:r w:rsidRPr="002E4BB4">
        <w:rPr>
          <w:i/>
          <w:iCs/>
          <w:shd w:val="clear" w:color="auto" w:fill="FFFFFF"/>
          <w:lang w:val="en-US"/>
        </w:rPr>
        <w:t>TimingAdvanceOffset</w:t>
      </w:r>
      <w:proofErr w:type="spellEnd"/>
      <w:r w:rsidRPr="002E4BB4">
        <w:rPr>
          <w:shd w:val="clear" w:color="auto" w:fill="FFFFFF"/>
          <w:lang w:val="en-US"/>
        </w:rPr>
        <w:t xml:space="preserve"> is not provided by the serving cell, the UE assumes TA offset in Table 7.1.2-2 in 38.133. In case of TDD in FR1 with no LTE-NR coexistence, the value of the cell specific TA offset is 25600*Tc = 13.03 us.</w:t>
      </w:r>
    </w:p>
    <w:p w14:paraId="7534FD28" w14:textId="77777777" w:rsidR="001138DE" w:rsidRPr="002E4BB4" w:rsidRDefault="001138DE" w:rsidP="001138DE">
      <w:pPr>
        <w:spacing w:after="240"/>
        <w:jc w:val="both"/>
        <w:rPr>
          <w:lang w:val="en-US"/>
        </w:rPr>
      </w:pPr>
      <w:r w:rsidRPr="002E4BB4">
        <w:rPr>
          <w:shd w:val="clear" w:color="auto" w:fill="FFFFFF"/>
          <w:lang w:val="en-US"/>
        </w:rPr>
        <w:t xml:space="preserve">While the UE specific TA is typically used to compensate for the propagation delay so that reception of UL signals from different UEs is synchronized at the gNB receiver, the cell specific TA offset is introduced to shift the relative timing between UL and DL so that the </w:t>
      </w:r>
      <w:r>
        <w:rPr>
          <w:lang w:val="en-US"/>
        </w:rPr>
        <w:t xml:space="preserve">overall guard time </w:t>
      </w:r>
      <w:r w:rsidRPr="002E4BB4">
        <w:rPr>
          <w:lang w:val="en-US"/>
        </w:rPr>
        <w:t>that is necessary to allow a half-duplex UE to switch from downlink reception to uplink transmission and vice versa</w:t>
      </w:r>
      <w:r w:rsidRPr="002E4BB4">
        <w:rPr>
          <w:shd w:val="clear" w:color="auto" w:fill="FFFFFF"/>
          <w:lang w:val="en-US"/>
        </w:rPr>
        <w:t xml:space="preserve"> can be minimized. </w:t>
      </w:r>
    </w:p>
    <w:p w14:paraId="6CAAB026" w14:textId="53E3C76F" w:rsidR="00FE3373" w:rsidRDefault="001138DE" w:rsidP="001138DE">
      <w:pPr>
        <w:spacing w:after="120"/>
        <w:jc w:val="both"/>
      </w:pPr>
      <w:r w:rsidRPr="00643184">
        <w:rPr>
          <w:lang w:val="en-US"/>
        </w:rPr>
        <w:t xml:space="preserve">In </w:t>
      </w:r>
      <w:r w:rsidR="00FE3373">
        <w:rPr>
          <w:lang w:val="en-US"/>
        </w:rPr>
        <w:t>previous</w:t>
      </w:r>
      <w:r w:rsidRPr="00643184">
        <w:rPr>
          <w:lang w:val="en-US"/>
        </w:rPr>
        <w:t xml:space="preserve"> meetings, several companies </w:t>
      </w:r>
      <w:r w:rsidRPr="00247334">
        <w:rPr>
          <w:rStyle w:val="CommentReference"/>
          <w:rFonts w:eastAsia="MS Mincho"/>
          <w:sz w:val="20"/>
          <w:lang w:val="en-US"/>
        </w:rPr>
        <w:t>r</w:t>
      </w:r>
      <w:r w:rsidRPr="00643184">
        <w:rPr>
          <w:lang w:val="en-US"/>
        </w:rPr>
        <w:t>aised the issue of FFT time misalignment between UL Rx and DL Tx when the gNB is simultaneously receiving in UL and transmitting in DL during SBFD slots and</w:t>
      </w:r>
      <w:r>
        <w:rPr>
          <w:lang w:val="en-US"/>
        </w:rPr>
        <w:t xml:space="preserve"> </w:t>
      </w:r>
      <w:r w:rsidRPr="003E1D28">
        <w:rPr>
          <w:rFonts w:ascii="Cambria Math" w:hAnsi="Cambria Math"/>
          <w:i/>
          <w:iCs/>
          <w:lang w:val="en-US"/>
        </w:rPr>
        <w:t>N</w:t>
      </w:r>
      <w:r w:rsidRPr="003E1D28">
        <w:rPr>
          <w:rFonts w:ascii="Cambria Math" w:hAnsi="Cambria Math"/>
          <w:vertAlign w:val="subscript"/>
          <w:lang w:val="en-US"/>
        </w:rPr>
        <w:t>TA,</w:t>
      </w:r>
      <w:r>
        <w:rPr>
          <w:rFonts w:ascii="Cambria Math" w:hAnsi="Cambria Math"/>
          <w:vertAlign w:val="subscript"/>
          <w:lang w:val="en-US"/>
        </w:rPr>
        <w:t> </w:t>
      </w:r>
      <w:r w:rsidRPr="003E1D28">
        <w:rPr>
          <w:rFonts w:ascii="Cambria Math" w:hAnsi="Cambria Math"/>
          <w:vertAlign w:val="subscript"/>
          <w:lang w:val="en-US"/>
        </w:rPr>
        <w:t>offset</w:t>
      </w:r>
      <w:r w:rsidRPr="003E1D28">
        <w:rPr>
          <w:rFonts w:ascii="Cambria Math" w:hAnsi="Cambria Math"/>
          <w:i/>
          <w:iCs/>
          <w:lang w:val="en-US"/>
        </w:rPr>
        <w:t xml:space="preserve"> </w:t>
      </w:r>
      <w:r w:rsidRPr="003E1D28">
        <w:rPr>
          <w:rFonts w:ascii="Cambria Math" w:hAnsi="Cambria Math"/>
          <w:lang w:val="en-US"/>
        </w:rPr>
        <w:t>&gt; 0</w:t>
      </w:r>
      <w:r w:rsidRPr="00643184">
        <w:rPr>
          <w:lang w:val="en-US"/>
        </w:rPr>
        <w:t xml:space="preserve">. Not having the same symbol timing in DL and UL can effectively </w:t>
      </w:r>
      <w:r w:rsidRPr="00643184">
        <w:t xml:space="preserve">increase the self-interference at the gNB. </w:t>
      </w:r>
      <w:r w:rsidR="00FE3373">
        <w:t>Based on those discussions, the following conclusion was reached:</w:t>
      </w:r>
    </w:p>
    <w:tbl>
      <w:tblPr>
        <w:tblStyle w:val="TableGrid"/>
        <w:tblpPr w:leftFromText="180" w:rightFromText="180" w:vertAnchor="text" w:horzAnchor="margin" w:tblpY="91"/>
        <w:tblW w:w="0" w:type="auto"/>
        <w:tblLook w:val="04A0" w:firstRow="1" w:lastRow="0" w:firstColumn="1" w:lastColumn="0" w:noHBand="0" w:noVBand="1"/>
      </w:tblPr>
      <w:tblGrid>
        <w:gridCol w:w="9629"/>
      </w:tblGrid>
      <w:tr w:rsidR="00FE3373" w14:paraId="6B943364" w14:textId="77777777" w:rsidTr="00FE3373">
        <w:tc>
          <w:tcPr>
            <w:tcW w:w="9629" w:type="dxa"/>
          </w:tcPr>
          <w:p w14:paraId="797B28BB" w14:textId="77777777" w:rsidR="00FE3373" w:rsidRPr="00362B37" w:rsidRDefault="00FE3373" w:rsidP="00FE3373">
            <w:pPr>
              <w:spacing w:after="0"/>
              <w:ind w:left="540"/>
              <w:rPr>
                <w:rFonts w:ascii="Times" w:eastAsia="Times New Roman" w:hAnsi="Times" w:cs="Times"/>
              </w:rPr>
            </w:pPr>
            <w:r w:rsidRPr="00362B37">
              <w:rPr>
                <w:rFonts w:ascii="Times" w:eastAsia="Times New Roman" w:hAnsi="Times" w:cs="Times"/>
                <w:b/>
              </w:rPr>
              <w:t>Conclusion</w:t>
            </w:r>
          </w:p>
          <w:p w14:paraId="04D67C75" w14:textId="77777777" w:rsidR="00FE3373" w:rsidRPr="00362B37" w:rsidRDefault="00FE3373" w:rsidP="00FE3373">
            <w:pPr>
              <w:spacing w:after="0"/>
              <w:ind w:left="540"/>
              <w:rPr>
                <w:rFonts w:ascii="Times" w:eastAsia="Times New Roman" w:hAnsi="Times" w:cs="Times"/>
              </w:rPr>
            </w:pPr>
            <w:r w:rsidRPr="00362B37">
              <w:rPr>
                <w:rFonts w:ascii="Times" w:eastAsia="Times New Roman" w:hAnsi="Times" w:cs="Times"/>
              </w:rPr>
              <w:t xml:space="preserve">Time misalignment at gNB between UL receptions and DL transmissions due to configuration of non-zero </w:t>
            </w:r>
            <w:proofErr w:type="spellStart"/>
            <w:proofErr w:type="gramStart"/>
            <w:r w:rsidRPr="00362B37">
              <w:rPr>
                <w:rFonts w:ascii="Times" w:eastAsia="Times New Roman" w:hAnsi="Times" w:cs="Times"/>
              </w:rPr>
              <w:t>N</w:t>
            </w:r>
            <w:r w:rsidRPr="00362B37">
              <w:rPr>
                <w:rFonts w:ascii="Times" w:eastAsia="Times New Roman" w:hAnsi="Times" w:cs="Times"/>
                <w:vertAlign w:val="subscript"/>
              </w:rPr>
              <w:t>TA,offset</w:t>
            </w:r>
            <w:proofErr w:type="spellEnd"/>
            <w:proofErr w:type="gramEnd"/>
            <w:r w:rsidRPr="00362B37">
              <w:rPr>
                <w:rFonts w:ascii="Times" w:eastAsia="Times New Roman" w:hAnsi="Times" w:cs="Times"/>
                <w:vertAlign w:val="subscript"/>
              </w:rPr>
              <w:t xml:space="preserve"> </w:t>
            </w:r>
            <w:r w:rsidRPr="00362B37">
              <w:rPr>
                <w:rFonts w:ascii="Times" w:eastAsia="Times New Roman" w:hAnsi="Times" w:cs="Times"/>
              </w:rPr>
              <w:t xml:space="preserve">at UE can lead to increased interference assuming no gNB transmit chain </w:t>
            </w:r>
            <w:r w:rsidRPr="00362B37">
              <w:rPr>
                <w:rFonts w:ascii="Times" w:eastAsia="Times New Roman" w:hAnsi="Times" w:cs="Times"/>
                <w:strike/>
              </w:rPr>
              <w:t>side</w:t>
            </w:r>
            <w:r w:rsidRPr="00362B37">
              <w:rPr>
                <w:rFonts w:ascii="Times" w:eastAsia="Times New Roman" w:hAnsi="Times" w:cs="Times"/>
              </w:rPr>
              <w:t xml:space="preserve"> impairments and no filtering of DL subband(s) in the gNB Rx chain.</w:t>
            </w:r>
          </w:p>
          <w:p w14:paraId="337144FC" w14:textId="77777777" w:rsidR="00FE3373" w:rsidRPr="00362B37" w:rsidRDefault="00FE3373" w:rsidP="00FE3373">
            <w:pPr>
              <w:numPr>
                <w:ilvl w:val="0"/>
                <w:numId w:val="94"/>
              </w:numPr>
              <w:spacing w:after="0"/>
              <w:textAlignment w:val="center"/>
              <w:rPr>
                <w:rFonts w:ascii="Calibri" w:eastAsia="Times New Roman" w:hAnsi="Calibri" w:cs="Calibri"/>
              </w:rPr>
            </w:pPr>
            <w:r w:rsidRPr="00362B37">
              <w:rPr>
                <w:rFonts w:ascii="Times" w:eastAsia="Times New Roman" w:hAnsi="Times" w:cs="Times"/>
              </w:rPr>
              <w:t>FFS the case with gNB transmit chain impairments and/or filtering of DL subband(s) in the gNB Rx chain</w:t>
            </w:r>
          </w:p>
          <w:p w14:paraId="1B703F08" w14:textId="77777777" w:rsidR="00FE3373" w:rsidRPr="00362B37" w:rsidRDefault="00FE3373" w:rsidP="00FE3373">
            <w:pPr>
              <w:numPr>
                <w:ilvl w:val="0"/>
                <w:numId w:val="94"/>
              </w:numPr>
              <w:spacing w:after="0"/>
              <w:textAlignment w:val="center"/>
              <w:rPr>
                <w:rFonts w:ascii="Calibri" w:eastAsia="Times New Roman" w:hAnsi="Calibri" w:cs="Calibri"/>
              </w:rPr>
            </w:pPr>
            <w:r w:rsidRPr="00362B37">
              <w:rPr>
                <w:rFonts w:ascii="Times" w:eastAsia="Times New Roman" w:hAnsi="Times" w:cs="Times"/>
              </w:rPr>
              <w:t>FFS whether/how to mitigate the interference increase, including impact to legacy UEs</w:t>
            </w:r>
          </w:p>
          <w:p w14:paraId="3C2ED452" w14:textId="77777777" w:rsidR="00FE3373" w:rsidRDefault="00FE3373" w:rsidP="00FE3373">
            <w:pPr>
              <w:rPr>
                <w:lang w:val="en-US"/>
              </w:rPr>
            </w:pPr>
          </w:p>
        </w:tc>
      </w:tr>
    </w:tbl>
    <w:p w14:paraId="5B384F7E" w14:textId="77777777" w:rsidR="00FE3373" w:rsidRDefault="00FE3373" w:rsidP="001138DE">
      <w:pPr>
        <w:spacing w:after="120"/>
        <w:jc w:val="both"/>
      </w:pPr>
    </w:p>
    <w:p w14:paraId="0CE0D707" w14:textId="7823774D" w:rsidR="001138DE" w:rsidRDefault="00F83B94" w:rsidP="001138DE">
      <w:pPr>
        <w:spacing w:after="120"/>
        <w:jc w:val="both"/>
        <w:rPr>
          <w:lang w:val="en-US"/>
        </w:rPr>
      </w:pPr>
      <w:r>
        <w:t>S</w:t>
      </w:r>
      <w:r w:rsidR="00763E63">
        <w:t>elf-interference at the gNB</w:t>
      </w:r>
      <w:r w:rsidR="00AA01CC">
        <w:t xml:space="preserve"> is </w:t>
      </w:r>
      <w:r>
        <w:t>one of the</w:t>
      </w:r>
      <w:r w:rsidR="002572F0">
        <w:t xml:space="preserve"> main </w:t>
      </w:r>
      <w:r w:rsidR="00632648">
        <w:t xml:space="preserve">challenges behind practical </w:t>
      </w:r>
      <w:r w:rsidR="00C37253">
        <w:t xml:space="preserve">deployment </w:t>
      </w:r>
      <w:r w:rsidR="00021474">
        <w:t>of SBFD</w:t>
      </w:r>
      <w:r w:rsidR="00C37253">
        <w:t xml:space="preserve">. </w:t>
      </w:r>
      <w:r w:rsidR="00CB4390">
        <w:t xml:space="preserve">Even when </w:t>
      </w:r>
      <w:r w:rsidR="00CB4390" w:rsidRPr="00362B37">
        <w:rPr>
          <w:rFonts w:ascii="Times" w:eastAsia="Times New Roman" w:hAnsi="Times" w:cs="Times"/>
        </w:rPr>
        <w:t>gNB transmit chain impairments and/or filtering of DL subband(s) in the gNB Rx chain</w:t>
      </w:r>
      <w:r w:rsidR="00CB4390">
        <w:rPr>
          <w:rFonts w:ascii="Times" w:eastAsia="Times New Roman" w:hAnsi="Times" w:cs="Times"/>
        </w:rPr>
        <w:t xml:space="preserve"> are considered, FFT time </w:t>
      </w:r>
      <w:r w:rsidR="00CB4390" w:rsidRPr="00362B37">
        <w:rPr>
          <w:rFonts w:ascii="Times" w:eastAsia="Times New Roman" w:hAnsi="Times" w:cs="Times"/>
        </w:rPr>
        <w:t xml:space="preserve">misalignment between UL receptions and DL transmissions </w:t>
      </w:r>
      <w:r w:rsidR="00CB4390">
        <w:rPr>
          <w:rFonts w:ascii="Times" w:eastAsia="Times New Roman" w:hAnsi="Times" w:cs="Times"/>
        </w:rPr>
        <w:t xml:space="preserve">at the gNB can </w:t>
      </w:r>
      <w:r w:rsidR="00B52F99">
        <w:rPr>
          <w:rFonts w:ascii="Times" w:eastAsia="Times New Roman" w:hAnsi="Times" w:cs="Times"/>
        </w:rPr>
        <w:t xml:space="preserve">increase the self-interference by </w:t>
      </w:r>
      <w:r w:rsidR="00354A0B">
        <w:rPr>
          <w:rFonts w:ascii="Times" w:eastAsia="Times New Roman" w:hAnsi="Times" w:cs="Times"/>
        </w:rPr>
        <w:t>several dBs</w:t>
      </w:r>
      <w:r w:rsidR="00AB13F0">
        <w:rPr>
          <w:rFonts w:ascii="Times" w:eastAsia="Times New Roman" w:hAnsi="Times" w:cs="Times"/>
        </w:rPr>
        <w:t xml:space="preserve">, </w:t>
      </w:r>
      <w:r w:rsidR="00354A0B">
        <w:rPr>
          <w:rFonts w:ascii="Times" w:eastAsia="Times New Roman" w:hAnsi="Times" w:cs="Times"/>
        </w:rPr>
        <w:t xml:space="preserve">as compared to the case with time </w:t>
      </w:r>
      <w:r w:rsidR="006175FC">
        <w:rPr>
          <w:rFonts w:ascii="Times" w:eastAsia="Times New Roman" w:hAnsi="Times" w:cs="Times"/>
        </w:rPr>
        <w:t>alignment</w:t>
      </w:r>
      <w:r w:rsidR="00B52F99">
        <w:rPr>
          <w:rFonts w:ascii="Times" w:eastAsia="Times New Roman" w:hAnsi="Times" w:cs="Times"/>
        </w:rPr>
        <w:t xml:space="preserve">. </w:t>
      </w:r>
      <w:r w:rsidR="006175FC">
        <w:rPr>
          <w:rFonts w:ascii="Times" w:eastAsia="Times New Roman" w:hAnsi="Times" w:cs="Times"/>
        </w:rPr>
        <w:t>Therefore</w:t>
      </w:r>
      <w:r w:rsidR="00AB13F0">
        <w:rPr>
          <w:rFonts w:ascii="Times" w:eastAsia="Times New Roman" w:hAnsi="Times" w:cs="Times"/>
        </w:rPr>
        <w:t xml:space="preserve">, </w:t>
      </w:r>
      <w:r w:rsidR="00B52F99">
        <w:rPr>
          <w:rFonts w:ascii="Times" w:eastAsia="Times New Roman" w:hAnsi="Times" w:cs="Times"/>
        </w:rPr>
        <w:t>we think</w:t>
      </w:r>
      <w:r w:rsidR="006175FC">
        <w:rPr>
          <w:rFonts w:ascii="Times" w:eastAsia="Times New Roman" w:hAnsi="Times" w:cs="Times"/>
        </w:rPr>
        <w:t xml:space="preserve"> that </w:t>
      </w:r>
      <w:r w:rsidR="00B52F99">
        <w:rPr>
          <w:rFonts w:ascii="Times" w:eastAsia="Times New Roman" w:hAnsi="Times" w:cs="Times"/>
        </w:rPr>
        <w:t>solutions</w:t>
      </w:r>
      <w:r w:rsidR="006175FC">
        <w:rPr>
          <w:rFonts w:ascii="Times" w:eastAsia="Times New Roman" w:hAnsi="Times" w:cs="Times"/>
        </w:rPr>
        <w:t xml:space="preserve"> to</w:t>
      </w:r>
      <w:r w:rsidR="00AB13F0">
        <w:rPr>
          <w:rFonts w:ascii="Times" w:eastAsia="Times New Roman" w:hAnsi="Times" w:cs="Times"/>
        </w:rPr>
        <w:t xml:space="preserve"> </w:t>
      </w:r>
      <w:r w:rsidR="001138DE" w:rsidRPr="00643184">
        <w:rPr>
          <w:lang w:val="en-US"/>
        </w:rPr>
        <w:t>achieve time alignment between UL and DL signals at the gNB</w:t>
      </w:r>
      <w:r w:rsidR="00AB13F0">
        <w:rPr>
          <w:lang w:val="en-US"/>
        </w:rPr>
        <w:t xml:space="preserve"> should be studied. In previous RAN1 meetings</w:t>
      </w:r>
      <w:r w:rsidR="001138DE" w:rsidRPr="00643184">
        <w:rPr>
          <w:lang w:val="en-US"/>
        </w:rPr>
        <w:t xml:space="preserve"> some companies suggest</w:t>
      </w:r>
      <w:r w:rsidR="00AB13F0">
        <w:rPr>
          <w:lang w:val="en-US"/>
        </w:rPr>
        <w:t>ed</w:t>
      </w:r>
      <w:r w:rsidR="001138DE" w:rsidRPr="00643184">
        <w:rPr>
          <w:lang w:val="en-US"/>
        </w:rPr>
        <w:t xml:space="preserve"> </w:t>
      </w:r>
      <w:r w:rsidR="001138DE">
        <w:rPr>
          <w:lang w:val="en-US"/>
        </w:rPr>
        <w:t xml:space="preserve">using </w:t>
      </w:r>
      <w:r w:rsidR="001138DE" w:rsidRPr="003E1D28">
        <w:rPr>
          <w:rFonts w:ascii="Cambria Math" w:hAnsi="Cambria Math"/>
          <w:i/>
          <w:iCs/>
          <w:lang w:val="en-US"/>
        </w:rPr>
        <w:t>N</w:t>
      </w:r>
      <w:r w:rsidR="001138DE" w:rsidRPr="003E1D28">
        <w:rPr>
          <w:rFonts w:ascii="Cambria Math" w:hAnsi="Cambria Math"/>
          <w:vertAlign w:val="subscript"/>
          <w:lang w:val="en-US"/>
        </w:rPr>
        <w:t>TA,</w:t>
      </w:r>
      <w:r w:rsidR="001138DE">
        <w:rPr>
          <w:rFonts w:ascii="Cambria Math" w:hAnsi="Cambria Math"/>
          <w:vertAlign w:val="subscript"/>
          <w:lang w:val="en-US"/>
        </w:rPr>
        <w:t> </w:t>
      </w:r>
      <w:r w:rsidR="001138DE" w:rsidRPr="003E1D28">
        <w:rPr>
          <w:rFonts w:ascii="Cambria Math" w:hAnsi="Cambria Math"/>
          <w:vertAlign w:val="subscript"/>
          <w:lang w:val="en-US"/>
        </w:rPr>
        <w:t>offset</w:t>
      </w:r>
      <w:r w:rsidR="001138DE" w:rsidRPr="003E1D28">
        <w:rPr>
          <w:rFonts w:ascii="Cambria Math" w:hAnsi="Cambria Math"/>
          <w:i/>
          <w:iCs/>
          <w:lang w:val="en-US"/>
        </w:rPr>
        <w:t xml:space="preserve"> </w:t>
      </w:r>
      <w:r w:rsidR="001138DE">
        <w:rPr>
          <w:rFonts w:ascii="Cambria Math" w:hAnsi="Cambria Math"/>
          <w:lang w:val="en-US"/>
        </w:rPr>
        <w:t>=</w:t>
      </w:r>
      <w:r w:rsidR="001138DE" w:rsidRPr="003E1D28">
        <w:rPr>
          <w:rFonts w:ascii="Cambria Math" w:hAnsi="Cambria Math"/>
          <w:lang w:val="en-US"/>
        </w:rPr>
        <w:t xml:space="preserve"> 0</w:t>
      </w:r>
      <w:r w:rsidR="001138DE">
        <w:rPr>
          <w:lang w:val="en-US"/>
        </w:rPr>
        <w:t xml:space="preserve">. </w:t>
      </w:r>
      <w:r w:rsidR="001138DE" w:rsidRPr="00643184">
        <w:rPr>
          <w:lang w:val="en-US"/>
        </w:rPr>
        <w:t xml:space="preserve">This has two main </w:t>
      </w:r>
      <w:r w:rsidR="001138DE">
        <w:rPr>
          <w:lang w:val="en-US"/>
        </w:rPr>
        <w:t>limitations</w:t>
      </w:r>
      <w:r w:rsidR="001138DE" w:rsidRPr="00643184">
        <w:rPr>
          <w:lang w:val="en-US"/>
        </w:rPr>
        <w:t>:</w:t>
      </w:r>
    </w:p>
    <w:p w14:paraId="28A5E5CF" w14:textId="77777777" w:rsidR="001138DE" w:rsidRPr="00643184" w:rsidRDefault="001138DE">
      <w:pPr>
        <w:pStyle w:val="ListParagraph"/>
        <w:numPr>
          <w:ilvl w:val="0"/>
          <w:numId w:val="27"/>
        </w:numPr>
        <w:ind w:left="714" w:hanging="357"/>
        <w:jc w:val="both"/>
        <w:rPr>
          <w:sz w:val="20"/>
          <w:szCs w:val="20"/>
          <w:lang w:val="en-US"/>
        </w:rPr>
      </w:pPr>
      <w:r w:rsidRPr="00643184">
        <w:rPr>
          <w:rFonts w:cs="Arial"/>
          <w:sz w:val="20"/>
          <w:szCs w:val="20"/>
          <w:lang w:val="en-US"/>
        </w:rPr>
        <w:t xml:space="preserve">Though in principle </w:t>
      </w:r>
      <w:r w:rsidRPr="00643184">
        <w:rPr>
          <w:rFonts w:ascii="Cambria Math" w:hAnsi="Cambria Math"/>
          <w:i/>
          <w:iCs/>
          <w:sz w:val="20"/>
          <w:szCs w:val="20"/>
          <w:lang w:val="en-US"/>
        </w:rPr>
        <w:t>N</w:t>
      </w:r>
      <w:r w:rsidRPr="00643184">
        <w:rPr>
          <w:rFonts w:ascii="Cambria Math" w:hAnsi="Cambria Math"/>
          <w:sz w:val="20"/>
          <w:szCs w:val="20"/>
          <w:vertAlign w:val="subscript"/>
          <w:lang w:val="en-US"/>
        </w:rPr>
        <w:t>TA, offset</w:t>
      </w:r>
      <w:r w:rsidRPr="00643184">
        <w:rPr>
          <w:rFonts w:cs="Arial"/>
          <w:sz w:val="20"/>
          <w:szCs w:val="20"/>
          <w:lang w:val="en-US"/>
        </w:rPr>
        <w:t xml:space="preserve"> can be configured by the network to any value among </w:t>
      </w:r>
      <w:r w:rsidRPr="00643184">
        <w:rPr>
          <w:sz w:val="20"/>
          <w:szCs w:val="20"/>
          <w:lang w:val="en-US"/>
        </w:rPr>
        <w:t xml:space="preserve">0, </w:t>
      </w:r>
      <w:r w:rsidRPr="00643184">
        <w:rPr>
          <w:sz w:val="20"/>
          <w:szCs w:val="20"/>
          <w:shd w:val="clear" w:color="auto" w:fill="FFFFFF"/>
          <w:lang w:val="en-US"/>
        </w:rPr>
        <w:t xml:space="preserve">25600*Tc and 39936*Tc by parameter </w:t>
      </w:r>
      <w:r w:rsidRPr="00643184">
        <w:rPr>
          <w:i/>
          <w:iCs/>
          <w:sz w:val="20"/>
          <w:szCs w:val="20"/>
          <w:shd w:val="clear" w:color="auto" w:fill="FFFFFF"/>
          <w:lang w:val="en-US"/>
        </w:rPr>
        <w:t>n-</w:t>
      </w:r>
      <w:proofErr w:type="spellStart"/>
      <w:r w:rsidRPr="00643184">
        <w:rPr>
          <w:i/>
          <w:iCs/>
          <w:sz w:val="20"/>
          <w:szCs w:val="20"/>
          <w:shd w:val="clear" w:color="auto" w:fill="FFFFFF"/>
          <w:lang w:val="en-US"/>
        </w:rPr>
        <w:t>TimingAdvanceOffset</w:t>
      </w:r>
      <w:proofErr w:type="spellEnd"/>
      <w:r w:rsidRPr="00643184">
        <w:rPr>
          <w:rFonts w:cs="Arial"/>
          <w:sz w:val="20"/>
          <w:szCs w:val="20"/>
          <w:shd w:val="clear" w:color="auto" w:fill="FFFFFF"/>
          <w:lang w:val="en-US"/>
        </w:rPr>
        <w:t>, in practice, legacy UEs always assume the value specified in Table 7.1.2</w:t>
      </w:r>
      <w:r>
        <w:rPr>
          <w:rFonts w:cs="Arial"/>
          <w:sz w:val="20"/>
          <w:szCs w:val="20"/>
          <w:shd w:val="clear" w:color="auto" w:fill="FFFFFF"/>
          <w:lang w:val="en-US"/>
        </w:rPr>
        <w:t>-</w:t>
      </w:r>
      <w:r w:rsidRPr="00643184">
        <w:rPr>
          <w:rFonts w:cs="Arial"/>
          <w:sz w:val="20"/>
          <w:szCs w:val="20"/>
          <w:shd w:val="clear" w:color="auto" w:fill="FFFFFF"/>
          <w:lang w:val="en-US"/>
        </w:rPr>
        <w:t>2 in 38.133 (for the corresponding frequency range and co-existence scenario) independently of what the network indicates in system information</w:t>
      </w:r>
    </w:p>
    <w:p w14:paraId="7F6E0DDD" w14:textId="77777777" w:rsidR="001138DE" w:rsidRPr="00643184" w:rsidRDefault="001138DE">
      <w:pPr>
        <w:pStyle w:val="ListParagraph"/>
        <w:numPr>
          <w:ilvl w:val="0"/>
          <w:numId w:val="27"/>
        </w:numPr>
        <w:spacing w:after="120"/>
        <w:ind w:left="714" w:hanging="357"/>
        <w:jc w:val="both"/>
        <w:rPr>
          <w:sz w:val="20"/>
          <w:szCs w:val="20"/>
          <w:lang w:val="en-US"/>
        </w:rPr>
      </w:pPr>
      <w:r>
        <w:rPr>
          <w:rFonts w:cs="Arial"/>
          <w:sz w:val="20"/>
          <w:szCs w:val="20"/>
          <w:lang w:val="en-US"/>
        </w:rPr>
        <w:t xml:space="preserve">The guard time between the end of a DL transmission in a DL slot and the start of an UL reception in a subsequent </w:t>
      </w:r>
      <w:r w:rsidRPr="00643184">
        <w:rPr>
          <w:rFonts w:cs="Arial"/>
          <w:sz w:val="20"/>
          <w:szCs w:val="20"/>
          <w:lang w:val="en-US"/>
        </w:rPr>
        <w:t>SBFD slot</w:t>
      </w:r>
      <w:r>
        <w:rPr>
          <w:rFonts w:cs="Arial"/>
          <w:sz w:val="20"/>
          <w:szCs w:val="20"/>
          <w:lang w:val="en-US"/>
        </w:rPr>
        <w:t xml:space="preserve"> (on the same frequency resources) is increased (as compared to legacy TDD with </w:t>
      </w:r>
      <w:r w:rsidRPr="003E1D28">
        <w:rPr>
          <w:rFonts w:ascii="Cambria Math" w:hAnsi="Cambria Math"/>
          <w:i/>
          <w:iCs/>
          <w:sz w:val="20"/>
          <w:szCs w:val="20"/>
          <w:lang w:val="en-US"/>
        </w:rPr>
        <w:t>N</w:t>
      </w:r>
      <w:r w:rsidRPr="003E1D28">
        <w:rPr>
          <w:rFonts w:ascii="Cambria Math" w:hAnsi="Cambria Math"/>
          <w:sz w:val="20"/>
          <w:szCs w:val="20"/>
          <w:vertAlign w:val="subscript"/>
          <w:lang w:val="en-US"/>
        </w:rPr>
        <w:t>TA,</w:t>
      </w:r>
      <w:r>
        <w:rPr>
          <w:rFonts w:ascii="Cambria Math" w:hAnsi="Cambria Math"/>
          <w:sz w:val="20"/>
          <w:szCs w:val="20"/>
          <w:vertAlign w:val="subscript"/>
          <w:lang w:val="en-US"/>
        </w:rPr>
        <w:t> </w:t>
      </w:r>
      <w:r w:rsidRPr="003E1D28">
        <w:rPr>
          <w:rFonts w:ascii="Cambria Math" w:hAnsi="Cambria Math"/>
          <w:sz w:val="20"/>
          <w:szCs w:val="20"/>
          <w:vertAlign w:val="subscript"/>
          <w:lang w:val="en-US"/>
        </w:rPr>
        <w:t>offset</w:t>
      </w:r>
      <w:r w:rsidRPr="003E1D28">
        <w:rPr>
          <w:rFonts w:ascii="Cambria Math" w:hAnsi="Cambria Math"/>
          <w:i/>
          <w:iCs/>
          <w:sz w:val="20"/>
          <w:szCs w:val="20"/>
          <w:lang w:val="en-US"/>
        </w:rPr>
        <w:t xml:space="preserve"> </w:t>
      </w:r>
      <w:r w:rsidRPr="003E1D28">
        <w:rPr>
          <w:rFonts w:ascii="Cambria Math" w:hAnsi="Cambria Math"/>
          <w:sz w:val="20"/>
          <w:szCs w:val="20"/>
          <w:lang w:val="en-US"/>
        </w:rPr>
        <w:t>&gt; 0</w:t>
      </w:r>
      <w:r>
        <w:rPr>
          <w:rFonts w:cs="Arial"/>
          <w:sz w:val="20"/>
          <w:szCs w:val="20"/>
          <w:lang w:val="en-US"/>
        </w:rPr>
        <w:t>)</w:t>
      </w:r>
    </w:p>
    <w:p w14:paraId="3C16C50E" w14:textId="12E4BE2A" w:rsidR="001138DE" w:rsidRPr="00D51752" w:rsidRDefault="001138DE">
      <w:pPr>
        <w:pStyle w:val="Observation"/>
      </w:pPr>
      <w:bookmarkStart w:id="1094" w:name="_Toc142394838"/>
      <w:bookmarkStart w:id="1095" w:name="_Toc142394930"/>
      <w:bookmarkStart w:id="1096" w:name="_Toc142397680"/>
      <w:bookmarkStart w:id="1097" w:name="_Toc142397778"/>
      <w:bookmarkStart w:id="1098" w:name="_Toc142397985"/>
      <w:bookmarkStart w:id="1099" w:name="_Toc142399712"/>
      <w:bookmarkStart w:id="1100" w:name="_Toc142400798"/>
      <w:bookmarkStart w:id="1101" w:name="_Toc142400896"/>
      <w:bookmarkStart w:id="1102" w:name="_Toc142400994"/>
      <w:bookmarkStart w:id="1103" w:name="_Toc142401104"/>
      <w:bookmarkStart w:id="1104" w:name="_Toc142401277"/>
      <w:bookmarkStart w:id="1105" w:name="_Toc142466619"/>
      <w:bookmarkStart w:id="1106" w:name="_Toc142481239"/>
      <w:bookmarkStart w:id="1107" w:name="_Toc142482053"/>
      <w:r w:rsidRPr="00D51752">
        <w:t xml:space="preserve">Use of </w:t>
      </w:r>
      <w:r w:rsidRPr="00D51752">
        <w:rPr>
          <w:rFonts w:ascii="Cambria Math" w:hAnsi="Cambria Math"/>
        </w:rPr>
        <w:t>N</w:t>
      </w:r>
      <w:r w:rsidRPr="00D51752">
        <w:rPr>
          <w:rFonts w:ascii="Cambria Math" w:hAnsi="Cambria Math"/>
          <w:vertAlign w:val="subscript"/>
        </w:rPr>
        <w:t>TA, offset</w:t>
      </w:r>
      <w:r w:rsidRPr="00D51752">
        <w:rPr>
          <w:rFonts w:ascii="Cambria Math" w:hAnsi="Cambria Math"/>
        </w:rPr>
        <w:t xml:space="preserve"> </w:t>
      </w:r>
      <w:r w:rsidRPr="00484F2D">
        <w:t>= 0 is only possible in SBFD slots and it increase</w:t>
      </w:r>
      <w:r>
        <w:t>s</w:t>
      </w:r>
      <w:r w:rsidRPr="00484F2D">
        <w:t xml:space="preserve"> the required </w:t>
      </w:r>
      <w:r>
        <w:t xml:space="preserve">guard time between the end of a </w:t>
      </w:r>
      <w:r w:rsidRPr="00484F2D">
        <w:t xml:space="preserve">DL </w:t>
      </w:r>
      <w:r>
        <w:t xml:space="preserve">transmission in a DL slot and the start of an UL reception in a </w:t>
      </w:r>
      <w:r w:rsidRPr="00484F2D">
        <w:t>SBFD slot</w:t>
      </w:r>
      <w:r>
        <w:t>.</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r>
        <w:t xml:space="preserve"> </w:t>
      </w:r>
    </w:p>
    <w:p w14:paraId="509287F8" w14:textId="0202ED20" w:rsidR="001138DE" w:rsidRPr="00B86C7C" w:rsidRDefault="001138DE" w:rsidP="001138DE">
      <w:pPr>
        <w:spacing w:after="120"/>
        <w:jc w:val="both"/>
        <w:rPr>
          <w:lang w:val="en-US"/>
        </w:rPr>
      </w:pPr>
      <w:r w:rsidRPr="00B86C7C">
        <w:rPr>
          <w:lang w:val="en-US"/>
        </w:rPr>
        <w:t>To solve the backward compatibility issue with legacy UE</w:t>
      </w:r>
      <w:r>
        <w:rPr>
          <w:lang w:val="en-US"/>
        </w:rPr>
        <w:t>s</w:t>
      </w:r>
      <w:r w:rsidRPr="00B86C7C">
        <w:rPr>
          <w:lang w:val="en-US"/>
        </w:rPr>
        <w:t xml:space="preserve">, some companies have proposed to configure and operate with two different values of </w:t>
      </w:r>
      <w:r w:rsidRPr="00B86C7C">
        <w:rPr>
          <w:rFonts w:ascii="Cambria Math" w:hAnsi="Cambria Math"/>
          <w:i/>
          <w:iCs/>
          <w:lang w:val="en-US"/>
        </w:rPr>
        <w:t>N</w:t>
      </w:r>
      <w:r w:rsidRPr="00B86C7C">
        <w:rPr>
          <w:rFonts w:ascii="Cambria Math" w:hAnsi="Cambria Math"/>
          <w:vertAlign w:val="subscript"/>
          <w:lang w:val="en-US"/>
        </w:rPr>
        <w:t>TA, offset</w:t>
      </w:r>
      <w:r w:rsidRPr="00B86C7C">
        <w:rPr>
          <w:lang w:val="en-US"/>
        </w:rPr>
        <w:t xml:space="preserve"> in SBFD slots and TDD UL slots. However, changing the TA offset from 0 in SBFD slots to </w:t>
      </w:r>
      <w:proofErr w:type="gramStart"/>
      <w:r w:rsidRPr="00B86C7C">
        <w:rPr>
          <w:lang w:val="en-US"/>
        </w:rPr>
        <w:t>e.g.</w:t>
      </w:r>
      <w:proofErr w:type="gramEnd"/>
      <w:r w:rsidRPr="00B86C7C">
        <w:rPr>
          <w:lang w:val="en-US"/>
        </w:rPr>
        <w:t xml:space="preserve"> 13us in TDD UL slots may cause an overlap between two consecutive UL transmissions by the same UE </w:t>
      </w:r>
      <w:r>
        <w:rPr>
          <w:lang w:val="en-US"/>
        </w:rPr>
        <w:t xml:space="preserve">in the transition </w:t>
      </w:r>
      <w:r w:rsidRPr="00B86C7C">
        <w:rPr>
          <w:lang w:val="en-US"/>
        </w:rPr>
        <w:t>from a</w:t>
      </w:r>
      <w:r>
        <w:rPr>
          <w:lang w:val="en-US"/>
        </w:rPr>
        <w:t>n</w:t>
      </w:r>
      <w:r w:rsidRPr="00B86C7C">
        <w:rPr>
          <w:lang w:val="en-US"/>
        </w:rPr>
        <w:t xml:space="preserve"> SBFD </w:t>
      </w:r>
      <w:r>
        <w:rPr>
          <w:lang w:val="en-US"/>
        </w:rPr>
        <w:t xml:space="preserve">slot </w:t>
      </w:r>
      <w:r w:rsidRPr="00B86C7C">
        <w:rPr>
          <w:lang w:val="en-US"/>
        </w:rPr>
        <w:t xml:space="preserve">to a TDD UL </w:t>
      </w:r>
      <w:r>
        <w:rPr>
          <w:lang w:val="en-US"/>
        </w:rPr>
        <w:t>s</w:t>
      </w:r>
      <w:r w:rsidRPr="00B86C7C">
        <w:rPr>
          <w:lang w:val="en-US"/>
        </w:rPr>
        <w:t xml:space="preserve">lot. </w:t>
      </w:r>
      <w:r>
        <w:rPr>
          <w:lang w:val="en-US"/>
        </w:rPr>
        <w:t xml:space="preserve">This may </w:t>
      </w:r>
      <w:r w:rsidRPr="00B86C7C">
        <w:rPr>
          <w:lang w:val="en-US"/>
        </w:rPr>
        <w:t xml:space="preserve">result in one additional symbol lost </w:t>
      </w:r>
      <w:r>
        <w:rPr>
          <w:lang w:val="en-US"/>
        </w:rPr>
        <w:t xml:space="preserve">in the transition </w:t>
      </w:r>
      <w:r w:rsidRPr="00B86C7C">
        <w:rPr>
          <w:lang w:val="en-US"/>
        </w:rPr>
        <w:t xml:space="preserve">between </w:t>
      </w:r>
      <w:r>
        <w:rPr>
          <w:lang w:val="en-US"/>
        </w:rPr>
        <w:t xml:space="preserve">a </w:t>
      </w:r>
      <w:r w:rsidRPr="00B86C7C">
        <w:rPr>
          <w:lang w:val="en-US"/>
        </w:rPr>
        <w:t xml:space="preserve">SBFD and </w:t>
      </w:r>
      <w:r>
        <w:rPr>
          <w:lang w:val="en-US"/>
        </w:rPr>
        <w:t xml:space="preserve">a </w:t>
      </w:r>
      <w:r w:rsidRPr="00B86C7C">
        <w:rPr>
          <w:lang w:val="en-US"/>
        </w:rPr>
        <w:t>TDD UL</w:t>
      </w:r>
      <w:r>
        <w:rPr>
          <w:lang w:val="en-US"/>
        </w:rPr>
        <w:t xml:space="preserve"> slot</w:t>
      </w:r>
      <w:r w:rsidRPr="00B86C7C">
        <w:rPr>
          <w:lang w:val="en-US"/>
        </w:rPr>
        <w:t>.</w:t>
      </w:r>
      <w:r w:rsidR="00745210">
        <w:rPr>
          <w:lang w:val="en-US"/>
        </w:rPr>
        <w:t xml:space="preserve"> Overall, the overhead required for switching between DL and UL (an vice versa) increases with SBFD operation as compared to TDD. Therefore, </w:t>
      </w:r>
      <w:r w:rsidR="00BC2AD7">
        <w:rPr>
          <w:lang w:val="en-US"/>
        </w:rPr>
        <w:t>how</w:t>
      </w:r>
      <w:r w:rsidR="00745210">
        <w:rPr>
          <w:lang w:val="en-US"/>
        </w:rPr>
        <w:t xml:space="preserve"> to reduce such overhead such as enabling partial OFDM symbol transmission in the guard periods between SBFD and DL-/UL-only slots should be studied.</w:t>
      </w:r>
      <w:r w:rsidRPr="00B86C7C">
        <w:rPr>
          <w:lang w:val="en-US"/>
        </w:rPr>
        <w:t xml:space="preserve">  </w:t>
      </w:r>
    </w:p>
    <w:p w14:paraId="207725CA" w14:textId="166071E9" w:rsidR="001138DE" w:rsidRPr="0079781F" w:rsidRDefault="001138DE">
      <w:pPr>
        <w:pStyle w:val="Observation"/>
        <w:rPr>
          <w:rFonts w:ascii="Cambria Math" w:hAnsi="Cambria Math"/>
        </w:rPr>
      </w:pPr>
      <w:bookmarkStart w:id="1108" w:name="_Toc142394839"/>
      <w:bookmarkStart w:id="1109" w:name="_Toc142394931"/>
      <w:bookmarkStart w:id="1110" w:name="_Toc142397681"/>
      <w:bookmarkStart w:id="1111" w:name="_Toc142397779"/>
      <w:bookmarkStart w:id="1112" w:name="_Toc142397986"/>
      <w:bookmarkStart w:id="1113" w:name="_Toc142399713"/>
      <w:bookmarkStart w:id="1114" w:name="_Toc142400799"/>
      <w:bookmarkStart w:id="1115" w:name="_Toc142400897"/>
      <w:bookmarkStart w:id="1116" w:name="_Toc142400995"/>
      <w:bookmarkStart w:id="1117" w:name="_Toc142401105"/>
      <w:bookmarkStart w:id="1118" w:name="_Toc142401278"/>
      <w:bookmarkStart w:id="1119" w:name="_Toc142466620"/>
      <w:bookmarkStart w:id="1120" w:name="_Toc142481240"/>
      <w:bookmarkStart w:id="1121" w:name="_Toc142482054"/>
      <w:r w:rsidRPr="0079781F">
        <w:t xml:space="preserve">Use of </w:t>
      </w:r>
      <w:r w:rsidRPr="0079781F">
        <w:rPr>
          <w:rFonts w:ascii="Cambria Math" w:hAnsi="Cambria Math"/>
        </w:rPr>
        <w:t>N</w:t>
      </w:r>
      <w:r w:rsidRPr="0079781F">
        <w:rPr>
          <w:rFonts w:ascii="Cambria Math" w:hAnsi="Cambria Math"/>
          <w:vertAlign w:val="subscript"/>
        </w:rPr>
        <w:t>TA, offset</w:t>
      </w:r>
      <w:r w:rsidRPr="0079781F">
        <w:rPr>
          <w:rFonts w:ascii="Cambria Math" w:hAnsi="Cambria Math"/>
        </w:rPr>
        <w:t xml:space="preserve"> = 0 </w:t>
      </w:r>
      <w:r w:rsidRPr="0079781F">
        <w:t>in SBFD slots and N</w:t>
      </w:r>
      <w:r w:rsidRPr="0079781F">
        <w:rPr>
          <w:vertAlign w:val="subscript"/>
        </w:rPr>
        <w:t>TA, offset</w:t>
      </w:r>
      <w:r w:rsidRPr="0079781F">
        <w:t xml:space="preserve"> &gt; 0 in TDD UL slots further increases the required overhead needed to switch between legacy TDD DL/UL slots and SBFD slots</w:t>
      </w:r>
      <w:r w:rsidR="001C05AC">
        <w: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1D8BC928" w14:textId="337548D9" w:rsidR="000B7C46" w:rsidRDefault="006C278F">
      <w:pPr>
        <w:pStyle w:val="Proposal"/>
      </w:pPr>
      <w:bookmarkStart w:id="1122" w:name="_Toc142394840"/>
      <w:bookmarkStart w:id="1123" w:name="_Toc142394932"/>
      <w:bookmarkStart w:id="1124" w:name="_Toc142397682"/>
      <w:bookmarkStart w:id="1125" w:name="_Toc142397780"/>
      <w:bookmarkStart w:id="1126" w:name="_Toc142397987"/>
      <w:bookmarkStart w:id="1127" w:name="_Toc142399714"/>
      <w:bookmarkStart w:id="1128" w:name="_Toc142400800"/>
      <w:bookmarkStart w:id="1129" w:name="_Toc142400898"/>
      <w:bookmarkStart w:id="1130" w:name="_Toc142400996"/>
      <w:bookmarkStart w:id="1131" w:name="_Toc142401106"/>
      <w:bookmarkStart w:id="1132" w:name="_Toc142401279"/>
      <w:bookmarkStart w:id="1133" w:name="_Toc142466621"/>
      <w:bookmarkStart w:id="1134" w:name="_Toc142481241"/>
      <w:bookmarkStart w:id="1135" w:name="_Toc142482055"/>
      <w:r>
        <w:t>Consider</w:t>
      </w:r>
      <w:r w:rsidRPr="00C577BB">
        <w:t xml:space="preserve"> </w:t>
      </w:r>
      <w:r w:rsidR="001138DE" w:rsidRPr="00C577BB">
        <w:t>using</w:t>
      </w:r>
      <w:r w:rsidR="001138DE" w:rsidRPr="00C577BB">
        <w:rPr>
          <w:rFonts w:ascii="Cambria Math" w:hAnsi="Cambria Math"/>
        </w:rPr>
        <w:t xml:space="preserve"> N</w:t>
      </w:r>
      <w:r w:rsidR="001138DE" w:rsidRPr="00C577BB">
        <w:rPr>
          <w:rFonts w:ascii="Cambria Math" w:hAnsi="Cambria Math"/>
          <w:vertAlign w:val="subscript"/>
        </w:rPr>
        <w:t>TA, offset</w:t>
      </w:r>
      <w:r w:rsidR="001138DE" w:rsidRPr="00C577BB">
        <w:rPr>
          <w:rFonts w:ascii="Cambria Math" w:hAnsi="Cambria Math"/>
        </w:rPr>
        <w:t xml:space="preserve"> = 0 </w:t>
      </w:r>
      <w:r w:rsidR="001138DE" w:rsidRPr="00C577BB">
        <w:t>in SBFD slots and</w:t>
      </w:r>
      <w:r w:rsidR="001138DE" w:rsidRPr="00C577BB">
        <w:rPr>
          <w:rFonts w:ascii="Cambria Math" w:hAnsi="Cambria Math"/>
        </w:rPr>
        <w:t xml:space="preserve"> N</w:t>
      </w:r>
      <w:r w:rsidR="001138DE" w:rsidRPr="00C577BB">
        <w:rPr>
          <w:rFonts w:ascii="Cambria Math" w:hAnsi="Cambria Math"/>
          <w:vertAlign w:val="subscript"/>
        </w:rPr>
        <w:t>TA, offset</w:t>
      </w:r>
      <w:r w:rsidR="001138DE" w:rsidRPr="00C577BB">
        <w:rPr>
          <w:rFonts w:ascii="Cambria Math" w:hAnsi="Cambria Math"/>
        </w:rPr>
        <w:t xml:space="preserve"> &gt; 0 </w:t>
      </w:r>
      <w:r w:rsidR="001138DE" w:rsidRPr="00C577BB">
        <w:t>in TDD UL to solve the FFT misalignment problem between UL Rx and DL Tx in SBFD slots</w:t>
      </w:r>
      <w:r w:rsidR="0022658C">
        <w:t>.</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r w:rsidR="001138DE" w:rsidRPr="00C577BB">
        <w:t xml:space="preserve"> </w:t>
      </w:r>
    </w:p>
    <w:p w14:paraId="15F1710E" w14:textId="3C740839" w:rsidR="001138DE" w:rsidRDefault="00D4685C">
      <w:pPr>
        <w:pStyle w:val="Proposal"/>
        <w:rPr>
          <w:rFonts w:ascii="Cambria Math" w:hAnsi="Cambria Math"/>
        </w:rPr>
      </w:pPr>
      <w:bookmarkStart w:id="1136" w:name="_Toc142394841"/>
      <w:bookmarkStart w:id="1137" w:name="_Toc142394933"/>
      <w:bookmarkStart w:id="1138" w:name="_Toc142397683"/>
      <w:bookmarkStart w:id="1139" w:name="_Toc142397781"/>
      <w:bookmarkStart w:id="1140" w:name="_Toc142397988"/>
      <w:bookmarkStart w:id="1141" w:name="_Toc142399715"/>
      <w:bookmarkStart w:id="1142" w:name="_Toc142400801"/>
      <w:bookmarkStart w:id="1143" w:name="_Toc142400899"/>
      <w:bookmarkStart w:id="1144" w:name="_Toc142400997"/>
      <w:bookmarkStart w:id="1145" w:name="_Toc142401107"/>
      <w:bookmarkStart w:id="1146" w:name="_Toc142401280"/>
      <w:bookmarkStart w:id="1147" w:name="_Toc142466622"/>
      <w:bookmarkStart w:id="1148" w:name="_Toc142481242"/>
      <w:bookmarkStart w:id="1149" w:name="_Toc142482056"/>
      <w:r>
        <w:t xml:space="preserve">If it is agreed to use </w:t>
      </w:r>
      <w:r w:rsidRPr="00C577BB">
        <w:rPr>
          <w:rFonts w:ascii="Cambria Math" w:hAnsi="Cambria Math"/>
        </w:rPr>
        <w:t>N</w:t>
      </w:r>
      <w:r w:rsidRPr="00C577BB">
        <w:rPr>
          <w:rFonts w:ascii="Cambria Math" w:hAnsi="Cambria Math"/>
          <w:vertAlign w:val="subscript"/>
        </w:rPr>
        <w:t>TA, offset</w:t>
      </w:r>
      <w:r w:rsidRPr="00C577BB">
        <w:rPr>
          <w:rFonts w:ascii="Cambria Math" w:hAnsi="Cambria Math"/>
        </w:rPr>
        <w:t xml:space="preserve"> = 0 </w:t>
      </w:r>
      <w:r w:rsidRPr="00C577BB">
        <w:t>in SBFD slots and</w:t>
      </w:r>
      <w:r w:rsidRPr="00C577BB">
        <w:rPr>
          <w:rFonts w:ascii="Cambria Math" w:hAnsi="Cambria Math"/>
        </w:rPr>
        <w:t xml:space="preserve"> N</w:t>
      </w:r>
      <w:r w:rsidRPr="00C577BB">
        <w:rPr>
          <w:rFonts w:ascii="Cambria Math" w:hAnsi="Cambria Math"/>
          <w:vertAlign w:val="subscript"/>
        </w:rPr>
        <w:t>TA, offset</w:t>
      </w:r>
      <w:r w:rsidRPr="00C577BB">
        <w:rPr>
          <w:rFonts w:ascii="Cambria Math" w:hAnsi="Cambria Math"/>
        </w:rPr>
        <w:t xml:space="preserve"> &gt; 0 </w:t>
      </w:r>
      <w:r w:rsidRPr="00C577BB">
        <w:t>in TDD UL</w:t>
      </w:r>
      <w:r>
        <w:t xml:space="preserve">, </w:t>
      </w:r>
      <w:r w:rsidR="001138DE" w:rsidRPr="00C577BB">
        <w:t xml:space="preserve">study </w:t>
      </w:r>
      <w:r w:rsidR="00BC2AD7">
        <w:t>how</w:t>
      </w:r>
      <w:r w:rsidR="001138DE" w:rsidRPr="00C577BB">
        <w:t xml:space="preserve"> to reduce the increased overhead when switching between TDD DL/UL slots and SBFD slots.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r w:rsidR="001138DE" w:rsidRPr="00C577BB">
        <w:rPr>
          <w:rFonts w:ascii="Cambria Math" w:hAnsi="Cambria Math"/>
        </w:rPr>
        <w:t xml:space="preserve"> </w:t>
      </w:r>
    </w:p>
    <w:p w14:paraId="6C047F25" w14:textId="36292697" w:rsidR="002527B3" w:rsidRDefault="002527B3" w:rsidP="005D3542">
      <w:pPr>
        <w:pStyle w:val="Heading3"/>
        <w:rPr>
          <w:lang w:val="en-US"/>
        </w:rPr>
      </w:pPr>
      <w:r>
        <w:rPr>
          <w:lang w:val="en-US"/>
        </w:rPr>
        <w:t xml:space="preserve">CLI </w:t>
      </w:r>
      <w:r w:rsidR="00EE43FE">
        <w:rPr>
          <w:lang w:val="en-US"/>
        </w:rPr>
        <w:t xml:space="preserve">mitigation </w:t>
      </w:r>
      <w:r>
        <w:rPr>
          <w:lang w:val="en-US"/>
        </w:rPr>
        <w:t>enhancements</w:t>
      </w:r>
    </w:p>
    <w:p w14:paraId="7FB47C28" w14:textId="27044442" w:rsidR="00802AAE" w:rsidRDefault="00802AAE" w:rsidP="00802AAE">
      <w:pPr>
        <w:pStyle w:val="Heading4"/>
        <w:ind w:left="862" w:hanging="862"/>
        <w:rPr>
          <w:lang w:val="en-US"/>
        </w:rPr>
      </w:pPr>
      <w:r w:rsidRPr="2ECD1BC6">
        <w:rPr>
          <w:lang w:val="en-US"/>
        </w:rPr>
        <w:t xml:space="preserve">UE-2-UE CLI </w:t>
      </w:r>
    </w:p>
    <w:p w14:paraId="4A0C0603" w14:textId="77777777" w:rsidR="00802AAE" w:rsidRPr="000D4E12" w:rsidRDefault="00802AAE" w:rsidP="00277B5E">
      <w:pPr>
        <w:spacing w:after="120"/>
        <w:jc w:val="both"/>
        <w:rPr>
          <w:rFonts w:eastAsia="Microsoft YaHei"/>
          <w:color w:val="000000" w:themeColor="text1"/>
          <w:lang w:val="en-US"/>
        </w:rPr>
      </w:pPr>
      <w:r w:rsidRPr="000D4E12">
        <w:rPr>
          <w:rFonts w:eastAsia="Microsoft YaHei"/>
          <w:color w:val="000000" w:themeColor="text1"/>
          <w:lang w:val="en-US"/>
        </w:rPr>
        <w:t xml:space="preserve">Schemes for UE-to-UE CLI mitigation have been specified during Rel-16 WI on Cross link Interference (CLI) handling and Remote Interference Management (RIM) for NR. Enhancements to the Rel-16 UE-to-UE CLI framework are being discussed under A.I. 9.3.3 with focus on dynamic TDD, </w:t>
      </w:r>
      <w:proofErr w:type="gramStart"/>
      <w:r w:rsidRPr="000D4E12">
        <w:rPr>
          <w:rFonts w:eastAsia="Microsoft YaHei"/>
          <w:color w:val="000000" w:themeColor="text1"/>
          <w:lang w:val="en-US"/>
        </w:rPr>
        <w:t>i.e.</w:t>
      </w:r>
      <w:proofErr w:type="gramEnd"/>
      <w:r w:rsidRPr="000D4E12">
        <w:rPr>
          <w:rFonts w:eastAsia="Microsoft YaHei"/>
          <w:color w:val="000000" w:themeColor="text1"/>
          <w:lang w:val="en-US"/>
        </w:rPr>
        <w:t xml:space="preserve"> A.I. 9.3.3 is already discussing enhancements for improved handling of inter-cell UE-to-UE CLI. Though those enhancements may also be applicable to SBFD, we propose to focus in here on enhancements for improved handling of intra-cell inter-subband UE-to-UE CLI. </w:t>
      </w:r>
    </w:p>
    <w:p w14:paraId="4A4F881E" w14:textId="77777777" w:rsidR="00802AAE" w:rsidRPr="00277B5E" w:rsidRDefault="00802AAE" w:rsidP="00802AAE">
      <w:pPr>
        <w:spacing w:before="120" w:after="120"/>
        <w:jc w:val="both"/>
        <w:rPr>
          <w:rFonts w:ascii="Arial" w:eastAsia="Microsoft YaHei" w:hAnsi="Arial" w:cs="Arial"/>
          <w:color w:val="000000"/>
          <w:u w:val="single"/>
          <w:lang w:val="en-US"/>
        </w:rPr>
      </w:pPr>
      <w:r w:rsidRPr="00277B5E">
        <w:rPr>
          <w:rFonts w:ascii="Arial" w:eastAsia="Microsoft YaHei" w:hAnsi="Arial" w:cs="Arial"/>
          <w:color w:val="000000" w:themeColor="text1"/>
          <w:u w:val="single"/>
          <w:lang w:val="en-US"/>
        </w:rPr>
        <w:t>Advanced UE RF requirements</w:t>
      </w:r>
    </w:p>
    <w:p w14:paraId="6825B75F" w14:textId="5AA248AD" w:rsidR="00802AAE" w:rsidRPr="000D4E12" w:rsidRDefault="00802AAE" w:rsidP="00277B5E">
      <w:pPr>
        <w:pStyle w:val="CommentText"/>
        <w:spacing w:after="120"/>
        <w:jc w:val="both"/>
        <w:rPr>
          <w:lang w:val="en-US"/>
        </w:rPr>
      </w:pPr>
      <w:r w:rsidRPr="000D4E12">
        <w:rPr>
          <w:rFonts w:eastAsia="Microsoft YaHei"/>
          <w:color w:val="000000" w:themeColor="text1"/>
          <w:lang w:val="en-US"/>
        </w:rPr>
        <w:t xml:space="preserve">One obvious way to mitigate intra-cell inter-subband UE-to-UE CLI is to tighten the UE in-band emission requirements. Note that typically the </w:t>
      </w:r>
      <w:r w:rsidRPr="000D4E12">
        <w:rPr>
          <w:lang w:val="en-US"/>
        </w:rPr>
        <w:t xml:space="preserve">UE TX is optimized for efficiency, so Power Amplifier (PA) nonlinearity is a dominant source of spectral regrowth. It may be feasible to reduce emissions bringing the PA into more linear operation at the expense of higher power consumption. </w:t>
      </w:r>
      <w:r w:rsidRPr="000D4E12">
        <w:rPr>
          <w:rFonts w:eastAsia="Microsoft YaHei"/>
          <w:color w:val="000000" w:themeColor="text1"/>
          <w:lang w:val="en-US"/>
        </w:rPr>
        <w:t xml:space="preserve">The UE capability to </w:t>
      </w:r>
      <w:r w:rsidRPr="000D4E12">
        <w:rPr>
          <w:rFonts w:eastAsia="Microsoft YaHei"/>
          <w:color w:val="000000"/>
          <w:lang w:val="en-US"/>
        </w:rPr>
        <w:t xml:space="preserve">adapt its UL/DL </w:t>
      </w:r>
      <w:r w:rsidRPr="000D4E12">
        <w:rPr>
          <w:lang w:val="en-US"/>
        </w:rPr>
        <w:t xml:space="preserve">digital filter’s bandwidth to match the UL/DL subband in SBFD symbols may also help reducing emissions. </w:t>
      </w:r>
      <w:r w:rsidR="004E14F6">
        <w:rPr>
          <w:rFonts w:eastAsia="Microsoft YaHei"/>
          <w:color w:val="000000" w:themeColor="text1"/>
          <w:lang w:val="en-US"/>
        </w:rPr>
        <w:t>In any case</w:t>
      </w:r>
      <w:r w:rsidRPr="000D4E12">
        <w:rPr>
          <w:rFonts w:eastAsia="Microsoft YaHei"/>
          <w:color w:val="000000" w:themeColor="text1"/>
          <w:lang w:val="en-US"/>
        </w:rPr>
        <w:t>, the feasibility of defining stricter (in-band) emission requirements for SBFD operation is not for RAN1 to discuss.</w:t>
      </w:r>
    </w:p>
    <w:p w14:paraId="09F89480" w14:textId="5CE57AAE" w:rsidR="00802AAE" w:rsidRPr="00277B5E" w:rsidRDefault="005B6B40">
      <w:pPr>
        <w:pStyle w:val="Observation"/>
      </w:pPr>
      <w:bookmarkStart w:id="1150" w:name="_Toc142394842"/>
      <w:bookmarkStart w:id="1151" w:name="_Toc142394934"/>
      <w:bookmarkStart w:id="1152" w:name="_Toc142397684"/>
      <w:bookmarkStart w:id="1153" w:name="_Toc142397782"/>
      <w:bookmarkStart w:id="1154" w:name="_Toc142397989"/>
      <w:bookmarkStart w:id="1155" w:name="_Toc142399716"/>
      <w:bookmarkStart w:id="1156" w:name="_Toc142400802"/>
      <w:bookmarkStart w:id="1157" w:name="_Toc142400900"/>
      <w:bookmarkStart w:id="1158" w:name="_Toc142400998"/>
      <w:bookmarkStart w:id="1159" w:name="_Toc142401108"/>
      <w:bookmarkStart w:id="1160" w:name="_Toc142401281"/>
      <w:bookmarkStart w:id="1161" w:name="_Toc142466623"/>
      <w:bookmarkStart w:id="1162" w:name="_Toc142481243"/>
      <w:bookmarkStart w:id="1163" w:name="_Toc142482057"/>
      <w:r w:rsidRPr="00277B5E">
        <w:t xml:space="preserve">One obvious way to mitigate </w:t>
      </w:r>
      <w:r w:rsidRPr="00277B5E">
        <w:rPr>
          <w:rFonts w:eastAsia="Microsoft YaHei"/>
          <w:color w:val="000000" w:themeColor="text1"/>
        </w:rPr>
        <w:t>intra-cell inter-subband UE-to-UE CLI is to tighten the UE in-band emission requirements</w:t>
      </w:r>
      <w:r w:rsidRPr="00277B5E">
        <w:t>.</w:t>
      </w:r>
      <w:r w:rsidR="006F5A7E" w:rsidRPr="00277B5E">
        <w:t xml:space="preserve"> The UE being able to match its UL/DL digital filter’s bandwidth to the UL/DL subband in SBFD symbols may also help reducing the UE in/band emissions. </w:t>
      </w:r>
      <w:r w:rsidR="004E7923" w:rsidRPr="00277B5E">
        <w:t>However</w:t>
      </w:r>
      <w:r w:rsidR="008A32EB" w:rsidRPr="00277B5E">
        <w:t xml:space="preserve">, such advance UE RF requirements are for RAN4 </w:t>
      </w:r>
      <w:r w:rsidR="00D80ECE" w:rsidRPr="00277B5E">
        <w:t>to be discussed.</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00D80ECE" w:rsidRPr="00277B5E">
        <w:t xml:space="preserve"> </w:t>
      </w:r>
    </w:p>
    <w:p w14:paraId="68CB8045" w14:textId="77777777" w:rsidR="00802AAE" w:rsidRPr="001C18DB" w:rsidRDefault="00802AAE" w:rsidP="00802AAE">
      <w:pPr>
        <w:spacing w:before="120" w:after="120"/>
        <w:jc w:val="both"/>
        <w:rPr>
          <w:u w:val="single"/>
          <w:lang w:val="en-US" w:eastAsia="ko-KR"/>
        </w:rPr>
      </w:pPr>
      <w:r w:rsidRPr="001C18DB">
        <w:rPr>
          <w:rFonts w:eastAsia="Microsoft YaHei"/>
          <w:color w:val="000000"/>
          <w:u w:val="single"/>
          <w:lang w:val="en-US"/>
        </w:rPr>
        <w:t>Schemes</w:t>
      </w:r>
      <w:r w:rsidRPr="001C18DB">
        <w:rPr>
          <w:u w:val="single"/>
          <w:lang w:val="en-US" w:eastAsia="ko-KR"/>
        </w:rPr>
        <w:t xml:space="preserve"> for accurate measurement of CLI leakage</w:t>
      </w:r>
    </w:p>
    <w:p w14:paraId="5410D093" w14:textId="51921A18" w:rsidR="00183628" w:rsidRPr="00D27DF4" w:rsidRDefault="00183628" w:rsidP="00802AAE">
      <w:pPr>
        <w:spacing w:before="120" w:after="120"/>
        <w:jc w:val="both"/>
        <w:rPr>
          <w:lang w:val="en-US" w:eastAsia="ko-KR"/>
        </w:rPr>
      </w:pPr>
      <w:r w:rsidRPr="00D27DF4">
        <w:rPr>
          <w:lang w:val="en-US" w:eastAsia="ko-KR"/>
        </w:rPr>
        <w:t>In RAN1 #112</w:t>
      </w:r>
      <w:r w:rsidR="004151CA" w:rsidRPr="00D27DF4">
        <w:rPr>
          <w:lang w:val="en-US" w:eastAsia="ko-KR"/>
        </w:rPr>
        <w:t xml:space="preserve"> and RAN1 #112bis-e</w:t>
      </w:r>
      <w:r w:rsidRPr="00D27DF4">
        <w:rPr>
          <w:lang w:val="en-US" w:eastAsia="ko-KR"/>
        </w:rPr>
        <w:t>, it has been agreed to study</w:t>
      </w:r>
      <w:r w:rsidR="00253947" w:rsidRPr="00D27DF4">
        <w:rPr>
          <w:lang w:val="en-US" w:eastAsia="ko-KR"/>
        </w:rPr>
        <w:t xml:space="preserve"> different methods for</w:t>
      </w:r>
      <w:r w:rsidRPr="00D27DF4">
        <w:rPr>
          <w:lang w:val="en-US" w:eastAsia="ko-KR"/>
        </w:rPr>
        <w:t xml:space="preserve"> inter-UE inter-subband CLI measurements.</w:t>
      </w:r>
    </w:p>
    <w:tbl>
      <w:tblPr>
        <w:tblStyle w:val="TableGrid"/>
        <w:tblW w:w="0" w:type="auto"/>
        <w:tblLook w:val="04A0" w:firstRow="1" w:lastRow="0" w:firstColumn="1" w:lastColumn="0" w:noHBand="0" w:noVBand="1"/>
      </w:tblPr>
      <w:tblGrid>
        <w:gridCol w:w="9629"/>
      </w:tblGrid>
      <w:tr w:rsidR="00183628" w14:paraId="6BC18E71" w14:textId="77777777" w:rsidTr="009361E8">
        <w:trPr>
          <w:trHeight w:val="7245"/>
        </w:trPr>
        <w:tc>
          <w:tcPr>
            <w:tcW w:w="9629" w:type="dxa"/>
          </w:tcPr>
          <w:p w14:paraId="746A99FB" w14:textId="77777777" w:rsidR="00DF1A2D" w:rsidRDefault="004151CA" w:rsidP="00183628">
            <w:pPr>
              <w:jc w:val="both"/>
              <w:rPr>
                <w:u w:val="single"/>
                <w:lang w:val="en-US" w:eastAsia="ko-KR"/>
              </w:rPr>
            </w:pPr>
            <w:r w:rsidRPr="001C18DB">
              <w:rPr>
                <w:u w:val="single"/>
                <w:lang w:val="en-US" w:eastAsia="ko-KR"/>
              </w:rPr>
              <w:t>RAN1 #112</w:t>
            </w:r>
            <w:r>
              <w:rPr>
                <w:u w:val="single"/>
                <w:lang w:val="en-US" w:eastAsia="ko-KR"/>
              </w:rPr>
              <w:t xml:space="preserve"> </w:t>
            </w:r>
          </w:p>
          <w:p w14:paraId="0280FEF1" w14:textId="495A9B8F" w:rsidR="00183628" w:rsidRPr="0066567D" w:rsidRDefault="00183628" w:rsidP="00183628">
            <w:pPr>
              <w:jc w:val="both"/>
              <w:rPr>
                <w:rFonts w:eastAsia="Malgun Gothic" w:cs="Times"/>
                <w:b/>
                <w:highlight w:val="green"/>
                <w:lang w:eastAsia="zh-CN"/>
              </w:rPr>
            </w:pPr>
            <w:r w:rsidRPr="0066567D">
              <w:rPr>
                <w:rFonts w:eastAsia="Malgun Gothic" w:cs="Times"/>
                <w:b/>
                <w:highlight w:val="green"/>
                <w:lang w:eastAsia="zh-CN"/>
              </w:rPr>
              <w:t>Agreement</w:t>
            </w:r>
          </w:p>
          <w:p w14:paraId="29C12830" w14:textId="77777777" w:rsidR="00183628" w:rsidRPr="0066567D" w:rsidRDefault="00183628" w:rsidP="00183628">
            <w:pPr>
              <w:rPr>
                <w:rFonts w:cs="Times"/>
                <w:lang w:eastAsia="zh-CN"/>
              </w:rPr>
            </w:pPr>
            <w:r w:rsidRPr="0066567D">
              <w:rPr>
                <w:rFonts w:cs="Times"/>
              </w:rPr>
              <w:t xml:space="preserve">For </w:t>
            </w:r>
            <w:r w:rsidRPr="0066567D">
              <w:rPr>
                <w:rFonts w:cs="Times"/>
                <w:lang w:eastAsia="zh-CN"/>
              </w:rPr>
              <w:t>inter-UE inter-subband CLI measurement, study at least the following methods:</w:t>
            </w:r>
          </w:p>
          <w:p w14:paraId="722F7B99" w14:textId="77777777" w:rsidR="00183628" w:rsidRPr="0066567D" w:rsidRDefault="00183628" w:rsidP="00DF1A2D">
            <w:pPr>
              <w:numPr>
                <w:ilvl w:val="1"/>
                <w:numId w:val="41"/>
              </w:numPr>
              <w:overflowPunct/>
              <w:autoSpaceDE/>
              <w:autoSpaceDN/>
              <w:adjustRightInd/>
              <w:spacing w:after="0"/>
              <w:jc w:val="both"/>
              <w:textAlignment w:val="auto"/>
              <w:rPr>
                <w:rFonts w:eastAsia="Malgun Gothic" w:cs="Times"/>
                <w:lang w:eastAsia="zh-CN"/>
              </w:rPr>
            </w:pPr>
            <w:r w:rsidRPr="0066567D">
              <w:rPr>
                <w:rFonts w:eastAsia="Malgun Gothic" w:cs="Times"/>
                <w:lang w:eastAsia="zh-CN"/>
              </w:rPr>
              <w:t>Method#1: victim UE measures RSSI within DL subband</w:t>
            </w:r>
          </w:p>
          <w:p w14:paraId="22A59C56" w14:textId="77777777" w:rsidR="00183628" w:rsidRPr="0066567D" w:rsidRDefault="00183628" w:rsidP="00DF1A2D">
            <w:pPr>
              <w:numPr>
                <w:ilvl w:val="2"/>
                <w:numId w:val="41"/>
              </w:numPr>
              <w:overflowPunct/>
              <w:autoSpaceDE/>
              <w:autoSpaceDN/>
              <w:adjustRightInd/>
              <w:spacing w:after="0"/>
              <w:jc w:val="both"/>
              <w:textAlignment w:val="auto"/>
              <w:rPr>
                <w:rFonts w:eastAsia="Malgun Gothic" w:cs="Times"/>
                <w:lang w:eastAsia="zh-CN"/>
              </w:rPr>
            </w:pPr>
            <w:r w:rsidRPr="0066567D">
              <w:rPr>
                <w:rFonts w:eastAsia="Malgun Gothic" w:cs="Times"/>
                <w:lang w:eastAsia="zh-CN"/>
              </w:rPr>
              <w:t>FFS: Whether SINR can be measured</w:t>
            </w:r>
          </w:p>
          <w:p w14:paraId="466B5D8B" w14:textId="77777777" w:rsidR="00183628" w:rsidRPr="00E75093" w:rsidRDefault="00183628" w:rsidP="00DF1A2D">
            <w:pPr>
              <w:numPr>
                <w:ilvl w:val="1"/>
                <w:numId w:val="41"/>
              </w:numPr>
              <w:overflowPunct/>
              <w:autoSpaceDE/>
              <w:autoSpaceDN/>
              <w:adjustRightInd/>
              <w:spacing w:after="0"/>
              <w:jc w:val="both"/>
              <w:textAlignment w:val="auto"/>
              <w:rPr>
                <w:rFonts w:eastAsia="Malgun Gothic" w:cs="Times"/>
                <w:lang w:eastAsia="zh-CN"/>
              </w:rPr>
            </w:pPr>
            <w:r w:rsidRPr="00E75093">
              <w:rPr>
                <w:rFonts w:eastAsia="Malgun Gothic" w:cs="Times"/>
                <w:lang w:eastAsia="zh-CN"/>
              </w:rPr>
              <w:t>Method#2: victim UE measures RSRP of aggressor UE within UL subband</w:t>
            </w:r>
          </w:p>
          <w:p w14:paraId="1FF07038" w14:textId="7D27BB31" w:rsidR="00183628" w:rsidRPr="0066567D" w:rsidRDefault="00183628" w:rsidP="00DF1A2D">
            <w:pPr>
              <w:numPr>
                <w:ilvl w:val="1"/>
                <w:numId w:val="41"/>
              </w:numPr>
              <w:overflowPunct/>
              <w:autoSpaceDE/>
              <w:autoSpaceDN/>
              <w:adjustRightInd/>
              <w:spacing w:after="0"/>
              <w:jc w:val="both"/>
              <w:textAlignment w:val="auto"/>
              <w:rPr>
                <w:rFonts w:eastAsia="Malgun Gothic" w:cs="Times"/>
                <w:lang w:eastAsia="zh-CN"/>
              </w:rPr>
            </w:pPr>
            <w:r w:rsidRPr="0066567D">
              <w:rPr>
                <w:rFonts w:eastAsia="Malgun Gothic" w:cs="Times"/>
                <w:lang w:eastAsia="zh-CN"/>
              </w:rPr>
              <w:t xml:space="preserve">Method#3: victim UE measures RSSI within UL subband </w:t>
            </w:r>
          </w:p>
          <w:p w14:paraId="04416503" w14:textId="7D27BB31" w:rsidR="00183628" w:rsidRPr="009361E8" w:rsidRDefault="00183628" w:rsidP="00DF1A2D">
            <w:pPr>
              <w:numPr>
                <w:ilvl w:val="1"/>
                <w:numId w:val="41"/>
              </w:numPr>
              <w:overflowPunct/>
              <w:autoSpaceDE/>
              <w:autoSpaceDN/>
              <w:adjustRightInd/>
              <w:spacing w:after="0"/>
              <w:jc w:val="both"/>
              <w:textAlignment w:val="auto"/>
              <w:rPr>
                <w:rFonts w:eastAsia="Malgun Gothic" w:cs="Times"/>
                <w:lang w:eastAsia="zh-CN"/>
              </w:rPr>
            </w:pPr>
            <w:r w:rsidRPr="000B4104">
              <w:rPr>
                <w:rFonts w:eastAsia="Malgun Gothic" w:cs="Times"/>
                <w:lang w:eastAsia="zh-CN"/>
              </w:rPr>
              <w:t>Note: the restriction in Rel-16 that CLI is only measured within DL BWP does not forbid UE to measure CLI in UL subband when UL subband is confined within DL BWP.</w:t>
            </w:r>
          </w:p>
          <w:p w14:paraId="282A90E9" w14:textId="77777777" w:rsidR="00DF1A2D" w:rsidRDefault="004151CA" w:rsidP="004151CA">
            <w:pPr>
              <w:spacing w:after="0"/>
              <w:rPr>
                <w:u w:val="single"/>
                <w:lang w:val="en-US" w:eastAsia="ko-KR"/>
              </w:rPr>
            </w:pPr>
            <w:r>
              <w:rPr>
                <w:u w:val="single"/>
                <w:lang w:val="en-US" w:eastAsia="ko-KR"/>
              </w:rPr>
              <w:t>RAN1 #112bis-e</w:t>
            </w:r>
          </w:p>
          <w:p w14:paraId="6D44E2A7" w14:textId="1D3C2A2C" w:rsidR="004151CA" w:rsidRPr="00362B37" w:rsidRDefault="004151CA" w:rsidP="009361E8">
            <w:pPr>
              <w:spacing w:after="0"/>
              <w:rPr>
                <w:rFonts w:ascii="Times" w:eastAsia="Times New Roman" w:hAnsi="Times" w:cs="Times"/>
              </w:rPr>
            </w:pPr>
            <w:r w:rsidRPr="00362B37">
              <w:rPr>
                <w:rFonts w:ascii="Times" w:eastAsia="Times New Roman" w:hAnsi="Times" w:cs="Times"/>
                <w:b/>
                <w:highlight w:val="green"/>
              </w:rPr>
              <w:t xml:space="preserve"> Agreement</w:t>
            </w:r>
          </w:p>
          <w:p w14:paraId="06B82512" w14:textId="7D27BB31" w:rsidR="004151CA" w:rsidRPr="00362B37" w:rsidRDefault="004151CA" w:rsidP="004151CA">
            <w:pPr>
              <w:spacing w:after="0"/>
              <w:ind w:left="540"/>
              <w:rPr>
                <w:rFonts w:ascii="Times" w:eastAsia="Times New Roman" w:hAnsi="Times" w:cs="Times"/>
              </w:rPr>
            </w:pPr>
            <w:r w:rsidRPr="00362B37">
              <w:rPr>
                <w:rFonts w:ascii="Times" w:eastAsia="Times New Roman" w:hAnsi="Times" w:cs="Times"/>
              </w:rPr>
              <w:t>For inter-UE inter-subband CLI measurement, study Method#2 and Method#3 considering:</w:t>
            </w:r>
          </w:p>
          <w:p w14:paraId="6172D584" w14:textId="7D27BB31" w:rsidR="004151CA" w:rsidRPr="00362B37" w:rsidRDefault="004151CA" w:rsidP="00DF1A2D">
            <w:pPr>
              <w:numPr>
                <w:ilvl w:val="0"/>
                <w:numId w:val="41"/>
              </w:numPr>
              <w:spacing w:after="0"/>
              <w:textAlignment w:val="center"/>
              <w:rPr>
                <w:rFonts w:ascii="Calibri" w:eastAsia="Times New Roman" w:hAnsi="Calibri" w:cs="Calibri"/>
              </w:rPr>
            </w:pPr>
            <w:r w:rsidRPr="00362B37">
              <w:rPr>
                <w:rFonts w:ascii="Times" w:eastAsia="Times New Roman" w:hAnsi="Times" w:cs="Times"/>
              </w:rPr>
              <w:t>Necessity/benefit compared with measurement within DL subband</w:t>
            </w:r>
          </w:p>
          <w:p w14:paraId="0D7608B7" w14:textId="2B150DEA" w:rsidR="004151CA" w:rsidRPr="00362B37" w:rsidRDefault="004151CA" w:rsidP="00DF1A2D">
            <w:pPr>
              <w:numPr>
                <w:ilvl w:val="0"/>
                <w:numId w:val="41"/>
              </w:numPr>
              <w:spacing w:after="0"/>
              <w:textAlignment w:val="center"/>
              <w:rPr>
                <w:rFonts w:ascii="Calibri" w:eastAsia="Times New Roman" w:hAnsi="Calibri" w:cs="Calibri"/>
              </w:rPr>
            </w:pPr>
            <w:r w:rsidRPr="00362B37">
              <w:rPr>
                <w:rFonts w:ascii="Times" w:eastAsia="Times New Roman" w:hAnsi="Times" w:cs="Times"/>
              </w:rPr>
              <w:t xml:space="preserve">Whether/how to estimate CLI from RSRP/RSSI measurements within UL </w:t>
            </w:r>
            <w:proofErr w:type="spellStart"/>
            <w:r w:rsidRPr="00362B37">
              <w:rPr>
                <w:rFonts w:ascii="Times" w:eastAsia="Times New Roman" w:hAnsi="Times" w:cs="Times"/>
              </w:rPr>
              <w:t>subband</w:t>
            </w:r>
            <w:proofErr w:type="spellEnd"/>
            <w:r w:rsidRPr="00362B37">
              <w:rPr>
                <w:rFonts w:ascii="Times" w:eastAsia="Times New Roman" w:hAnsi="Times" w:cs="Times"/>
              </w:rPr>
              <w:t xml:space="preserve"> / </w:t>
            </w:r>
            <w:proofErr w:type="spellStart"/>
            <w:r w:rsidRPr="00362B37">
              <w:rPr>
                <w:rFonts w:ascii="Times" w:eastAsia="Times New Roman" w:hAnsi="Times" w:cs="Times"/>
              </w:rPr>
              <w:t>guardband</w:t>
            </w:r>
            <w:proofErr w:type="spellEnd"/>
          </w:p>
          <w:p w14:paraId="04390D35" w14:textId="2B150DEA" w:rsidR="004151CA" w:rsidRPr="00362B37" w:rsidRDefault="004151CA" w:rsidP="00DF1A2D">
            <w:pPr>
              <w:numPr>
                <w:ilvl w:val="0"/>
                <w:numId w:val="41"/>
              </w:numPr>
              <w:spacing w:after="0"/>
              <w:textAlignment w:val="center"/>
              <w:rPr>
                <w:rFonts w:ascii="Calibri" w:eastAsia="Times New Roman" w:hAnsi="Calibri" w:cs="Calibri"/>
              </w:rPr>
            </w:pPr>
            <w:r w:rsidRPr="00362B37">
              <w:rPr>
                <w:rFonts w:ascii="Times" w:eastAsia="Times New Roman" w:hAnsi="Times" w:cs="Times"/>
              </w:rPr>
              <w:t>Whether UE is required to measure RSRP/RSSI within UL subband and receive DL in DL subband(s) simultaneously</w:t>
            </w:r>
          </w:p>
          <w:p w14:paraId="1BBC4AA0" w14:textId="2B150DEA" w:rsidR="004151CA" w:rsidRPr="00362B37" w:rsidRDefault="004151CA" w:rsidP="00DF1A2D">
            <w:pPr>
              <w:numPr>
                <w:ilvl w:val="0"/>
                <w:numId w:val="41"/>
              </w:numPr>
              <w:spacing w:after="0"/>
              <w:textAlignment w:val="center"/>
              <w:rPr>
                <w:rFonts w:ascii="Calibri" w:eastAsia="Times New Roman" w:hAnsi="Calibri" w:cs="Calibri"/>
              </w:rPr>
            </w:pPr>
            <w:r w:rsidRPr="00362B37">
              <w:rPr>
                <w:rFonts w:ascii="Times" w:eastAsia="Times New Roman" w:hAnsi="Times" w:cs="Times"/>
              </w:rPr>
              <w:t>Whether existing CLI measurement and report framework can be reused to support RSRP/RSSI measurements within UL subband</w:t>
            </w:r>
          </w:p>
          <w:p w14:paraId="2187A196" w14:textId="2B150DEA" w:rsidR="004151CA" w:rsidRPr="009361E8" w:rsidRDefault="004151CA" w:rsidP="00DF1A2D">
            <w:pPr>
              <w:numPr>
                <w:ilvl w:val="0"/>
                <w:numId w:val="41"/>
              </w:numPr>
              <w:spacing w:after="0"/>
              <w:textAlignment w:val="center"/>
              <w:rPr>
                <w:rFonts w:ascii="Calibri" w:eastAsia="Times New Roman" w:hAnsi="Calibri" w:cs="Calibri"/>
              </w:rPr>
            </w:pPr>
            <w:r w:rsidRPr="00362B37">
              <w:rPr>
                <w:rFonts w:ascii="Times" w:eastAsia="Times New Roman" w:hAnsi="Times" w:cs="Times"/>
              </w:rPr>
              <w:t>If not, identify the potential impact</w:t>
            </w:r>
          </w:p>
          <w:p w14:paraId="7B8C9F77" w14:textId="77777777" w:rsidR="00DF1A2D" w:rsidRDefault="00DF1A2D" w:rsidP="00DF1A2D">
            <w:pPr>
              <w:spacing w:after="0"/>
              <w:ind w:left="540"/>
              <w:rPr>
                <w:rFonts w:ascii="Times" w:eastAsia="Times New Roman" w:hAnsi="Times" w:cs="Times"/>
                <w:b/>
                <w:highlight w:val="green"/>
              </w:rPr>
            </w:pPr>
          </w:p>
          <w:p w14:paraId="5CCE8AB8" w14:textId="77777777" w:rsidR="00DF1A2D" w:rsidRPr="00362B37" w:rsidRDefault="00DF1A2D" w:rsidP="009361E8">
            <w:pPr>
              <w:spacing w:after="0"/>
              <w:rPr>
                <w:rFonts w:ascii="Times" w:eastAsia="Times New Roman" w:hAnsi="Times" w:cs="Times"/>
              </w:rPr>
            </w:pPr>
            <w:r w:rsidRPr="00362B37">
              <w:rPr>
                <w:rFonts w:ascii="Times" w:eastAsia="Times New Roman" w:hAnsi="Times" w:cs="Times"/>
                <w:b/>
                <w:highlight w:val="green"/>
              </w:rPr>
              <w:t>Agreement</w:t>
            </w:r>
          </w:p>
          <w:p w14:paraId="7AACA3A9" w14:textId="77777777" w:rsidR="00DF1A2D" w:rsidRPr="00362B37" w:rsidRDefault="00DF1A2D" w:rsidP="00DF1A2D">
            <w:pPr>
              <w:spacing w:after="0"/>
              <w:ind w:left="540"/>
              <w:rPr>
                <w:rFonts w:ascii="Times" w:eastAsia="Times New Roman" w:hAnsi="Times" w:cs="Times"/>
                <w:lang w:val="en-US"/>
              </w:rPr>
            </w:pPr>
            <w:r w:rsidRPr="00362B37">
              <w:rPr>
                <w:rFonts w:ascii="Times" w:eastAsia="Times New Roman" w:hAnsi="Times" w:cs="Times"/>
                <w:lang w:val="en-US"/>
              </w:rPr>
              <w:t xml:space="preserve">For semi-static SBFD, a SBFD aware UE does not transmit UL channels/signals or receive DL channels/signals on the </w:t>
            </w:r>
            <w:proofErr w:type="spellStart"/>
            <w:r w:rsidRPr="00362B37">
              <w:rPr>
                <w:rFonts w:ascii="Times" w:eastAsia="Times New Roman" w:hAnsi="Times" w:cs="Times"/>
                <w:lang w:val="en-US"/>
              </w:rPr>
              <w:t>guardband</w:t>
            </w:r>
            <w:proofErr w:type="spellEnd"/>
            <w:r w:rsidRPr="00362B37">
              <w:rPr>
                <w:rFonts w:ascii="Times" w:eastAsia="Times New Roman" w:hAnsi="Times" w:cs="Times"/>
                <w:lang w:val="en-US"/>
              </w:rPr>
              <w:t>(s) that the UE is aware of.</w:t>
            </w:r>
          </w:p>
          <w:p w14:paraId="3A486674" w14:textId="77777777" w:rsidR="004151CA" w:rsidRPr="00D27DF4" w:rsidRDefault="00DF1A2D" w:rsidP="009361E8">
            <w:pPr>
              <w:numPr>
                <w:ilvl w:val="0"/>
                <w:numId w:val="41"/>
              </w:numPr>
              <w:spacing w:after="0"/>
              <w:textAlignment w:val="center"/>
              <w:rPr>
                <w:rFonts w:ascii="Calibri" w:eastAsia="Times New Roman" w:hAnsi="Calibri" w:cs="Calibri"/>
                <w:lang w:val="en-US"/>
              </w:rPr>
            </w:pPr>
            <w:r w:rsidRPr="00362B37">
              <w:rPr>
                <w:rFonts w:ascii="Times" w:eastAsia="Times New Roman" w:hAnsi="Times" w:cs="Times"/>
                <w:lang w:val="en-US"/>
              </w:rPr>
              <w:t xml:space="preserve">FFS: Measurement in </w:t>
            </w:r>
            <w:proofErr w:type="spellStart"/>
            <w:r w:rsidRPr="00362B37">
              <w:rPr>
                <w:rFonts w:ascii="Times" w:eastAsia="Times New Roman" w:hAnsi="Times" w:cs="Times"/>
                <w:lang w:val="en-US"/>
              </w:rPr>
              <w:t>guardband</w:t>
            </w:r>
            <w:proofErr w:type="spellEnd"/>
            <w:r w:rsidRPr="00362B37">
              <w:rPr>
                <w:rFonts w:ascii="Times" w:eastAsia="Times New Roman" w:hAnsi="Times" w:cs="Times"/>
                <w:lang w:val="en-US"/>
              </w:rPr>
              <w:t xml:space="preserve"> for the purpose of CLI measurement</w:t>
            </w:r>
          </w:p>
          <w:p w14:paraId="2F809833" w14:textId="7A497828" w:rsidR="009616EC" w:rsidRDefault="009616EC" w:rsidP="009616EC">
            <w:pPr>
              <w:tabs>
                <w:tab w:val="left" w:pos="0"/>
              </w:tabs>
              <w:spacing w:after="0"/>
              <w:textAlignment w:val="center"/>
              <w:rPr>
                <w:rFonts w:ascii="Times" w:eastAsia="Times New Roman" w:hAnsi="Times" w:cs="Times"/>
                <w:lang w:val="en-US"/>
              </w:rPr>
            </w:pPr>
            <w:r>
              <w:rPr>
                <w:u w:val="single"/>
                <w:lang w:val="en-US" w:eastAsia="ko-KR"/>
              </w:rPr>
              <w:t>RAN1 #113</w:t>
            </w:r>
          </w:p>
          <w:p w14:paraId="6A66AAC6" w14:textId="77777777" w:rsidR="009616EC" w:rsidRPr="009616EC" w:rsidRDefault="009616EC" w:rsidP="009616EC">
            <w:pPr>
              <w:overflowPunct/>
              <w:autoSpaceDE/>
              <w:autoSpaceDN/>
              <w:adjustRightInd/>
              <w:spacing w:after="0"/>
              <w:ind w:left="540"/>
              <w:textAlignment w:val="auto"/>
              <w:rPr>
                <w:rFonts w:ascii="Times" w:eastAsia="Times New Roman" w:hAnsi="Times" w:cs="Times"/>
              </w:rPr>
            </w:pPr>
            <w:r w:rsidRPr="009616EC">
              <w:rPr>
                <w:rFonts w:ascii="Times" w:eastAsia="Times New Roman" w:hAnsi="Times" w:cs="Times"/>
                <w:highlight w:val="green"/>
              </w:rPr>
              <w:t>Agreement</w:t>
            </w:r>
          </w:p>
          <w:p w14:paraId="7FB25FD1" w14:textId="77777777" w:rsidR="009616EC" w:rsidRPr="009616EC" w:rsidRDefault="009616EC" w:rsidP="009616EC">
            <w:pPr>
              <w:overflowPunct/>
              <w:autoSpaceDE/>
              <w:autoSpaceDN/>
              <w:adjustRightInd/>
              <w:spacing w:after="0"/>
              <w:ind w:left="540"/>
              <w:textAlignment w:val="auto"/>
              <w:rPr>
                <w:rFonts w:ascii="Times" w:eastAsia="Times New Roman" w:hAnsi="Times" w:cs="Times"/>
              </w:rPr>
            </w:pPr>
            <w:r w:rsidRPr="009616EC">
              <w:rPr>
                <w:rFonts w:ascii="Times" w:eastAsia="Times New Roman" w:hAnsi="Times" w:cs="Times"/>
              </w:rPr>
              <w:t>The following conclusion is to be captured in the TR</w:t>
            </w:r>
          </w:p>
          <w:p w14:paraId="7912D8B9" w14:textId="77777777" w:rsidR="009616EC" w:rsidRPr="009616EC" w:rsidRDefault="009616EC" w:rsidP="009616EC">
            <w:pPr>
              <w:numPr>
                <w:ilvl w:val="0"/>
                <w:numId w:val="147"/>
              </w:numPr>
              <w:overflowPunct/>
              <w:autoSpaceDE/>
              <w:autoSpaceDN/>
              <w:adjustRightInd/>
              <w:spacing w:after="0"/>
              <w:textAlignment w:val="center"/>
              <w:rPr>
                <w:rFonts w:ascii="Calibri" w:eastAsia="Times New Roman" w:hAnsi="Calibri" w:cs="Calibri"/>
                <w:sz w:val="22"/>
                <w:szCs w:val="22"/>
                <w:lang w:val="en-US"/>
              </w:rPr>
            </w:pPr>
            <w:r w:rsidRPr="009616EC">
              <w:rPr>
                <w:rFonts w:ascii="Arial" w:eastAsia="Times New Roman" w:hAnsi="Arial" w:cs="Arial"/>
                <w:sz w:val="16"/>
                <w:szCs w:val="16"/>
                <w:lang w:val="en-US"/>
              </w:rPr>
              <w:t xml:space="preserve">For the methods agreed to be studied for inter-UE inter-subband CLI measurement, Method #2 and Method #3 can be used for identifying the aggressor UE(s) if orthogonal resources are allocated for different aggressor UE(s); and Method #2 and #3 can at least provide higher interference signal strength than inter-subband interference </w:t>
            </w:r>
            <w:proofErr w:type="gramStart"/>
            <w:r w:rsidRPr="009616EC">
              <w:rPr>
                <w:rFonts w:ascii="Arial" w:eastAsia="Times New Roman" w:hAnsi="Arial" w:cs="Arial"/>
                <w:sz w:val="16"/>
                <w:szCs w:val="16"/>
                <w:lang w:val="en-US"/>
              </w:rPr>
              <w:t>leakage based</w:t>
            </w:r>
            <w:proofErr w:type="gramEnd"/>
            <w:r w:rsidRPr="009616EC">
              <w:rPr>
                <w:rFonts w:ascii="Arial" w:eastAsia="Times New Roman" w:hAnsi="Arial" w:cs="Arial"/>
                <w:sz w:val="16"/>
                <w:szCs w:val="16"/>
                <w:lang w:val="en-US"/>
              </w:rPr>
              <w:t xml:space="preserve"> measurements in Method #1. Furthermore, such measurement is not subject to inter-cell DL interference.</w:t>
            </w:r>
          </w:p>
          <w:p w14:paraId="63111E87" w14:textId="77777777" w:rsidR="009616EC" w:rsidRPr="009616EC" w:rsidRDefault="009616EC" w:rsidP="009616EC">
            <w:pPr>
              <w:numPr>
                <w:ilvl w:val="0"/>
                <w:numId w:val="147"/>
              </w:numPr>
              <w:overflowPunct/>
              <w:autoSpaceDE/>
              <w:autoSpaceDN/>
              <w:adjustRightInd/>
              <w:spacing w:after="0"/>
              <w:textAlignment w:val="center"/>
              <w:rPr>
                <w:rFonts w:ascii="Calibri" w:eastAsia="Times New Roman" w:hAnsi="Calibri" w:cs="Calibri"/>
                <w:sz w:val="22"/>
                <w:szCs w:val="22"/>
                <w:lang w:val="en-US"/>
              </w:rPr>
            </w:pPr>
            <w:r w:rsidRPr="009616EC">
              <w:rPr>
                <w:rFonts w:ascii="Arial" w:eastAsia="Times New Roman" w:hAnsi="Arial" w:cs="Arial"/>
                <w:sz w:val="16"/>
                <w:szCs w:val="16"/>
                <w:lang w:val="en-US"/>
              </w:rPr>
              <w:t>It is feasible for UE to measure RSRP/RSSI within UL subband if within active DL BWP and receive DL in DL subband(s) simultaneously similar as simultaneous RSRP/RSSI measurement and DL reception in Rel-16.</w:t>
            </w:r>
          </w:p>
          <w:p w14:paraId="22CCFB7C" w14:textId="77777777" w:rsidR="009616EC" w:rsidRPr="009616EC" w:rsidRDefault="009616EC" w:rsidP="009616EC">
            <w:pPr>
              <w:numPr>
                <w:ilvl w:val="0"/>
                <w:numId w:val="147"/>
              </w:numPr>
              <w:overflowPunct/>
              <w:autoSpaceDE/>
              <w:autoSpaceDN/>
              <w:adjustRightInd/>
              <w:textAlignment w:val="center"/>
              <w:rPr>
                <w:rFonts w:ascii="Calibri" w:eastAsia="Times New Roman" w:hAnsi="Calibri" w:cs="Calibri"/>
                <w:sz w:val="22"/>
                <w:szCs w:val="22"/>
                <w:lang w:val="en-US"/>
              </w:rPr>
            </w:pPr>
            <w:r w:rsidRPr="009616EC">
              <w:rPr>
                <w:rFonts w:ascii="Arial" w:eastAsia="Times New Roman" w:hAnsi="Arial" w:cs="Arial"/>
                <w:sz w:val="16"/>
                <w:szCs w:val="16"/>
                <w:lang w:val="en-US"/>
              </w:rPr>
              <w:t>The existing CLI measurement and report framework can be reused to support RSRP/RSSI measurements within UL subband when UL subband is confined within active DL BWP.</w:t>
            </w:r>
          </w:p>
          <w:p w14:paraId="68BB127F" w14:textId="73F23FA5" w:rsidR="009616EC" w:rsidRPr="009361E8" w:rsidRDefault="009616EC" w:rsidP="00D27DF4">
            <w:pPr>
              <w:tabs>
                <w:tab w:val="left" w:pos="0"/>
              </w:tabs>
              <w:spacing w:after="0"/>
              <w:textAlignment w:val="center"/>
              <w:rPr>
                <w:rFonts w:ascii="Calibri" w:eastAsia="Times New Roman" w:hAnsi="Calibri" w:cs="Calibri"/>
                <w:lang w:val="en-US"/>
              </w:rPr>
            </w:pPr>
          </w:p>
        </w:tc>
      </w:tr>
    </w:tbl>
    <w:p w14:paraId="43F08545" w14:textId="77777777" w:rsidR="00574AB0" w:rsidRPr="00F33983" w:rsidRDefault="00574AB0" w:rsidP="00802AAE">
      <w:pPr>
        <w:spacing w:before="120" w:after="120"/>
        <w:jc w:val="both"/>
        <w:rPr>
          <w:rFonts w:ascii="Arial" w:hAnsi="Arial" w:cs="Arial"/>
          <w:u w:val="single"/>
          <w:lang w:val="en-US" w:eastAsia="zh-CN"/>
        </w:rPr>
      </w:pPr>
    </w:p>
    <w:p w14:paraId="3EE09DAD" w14:textId="4C16E58E" w:rsidR="00574AB0" w:rsidRDefault="004E1D77" w:rsidP="00802AAE">
      <w:pPr>
        <w:spacing w:after="120"/>
        <w:jc w:val="both"/>
        <w:rPr>
          <w:bCs/>
          <w:iCs/>
          <w:lang w:val="en-US" w:eastAsia="ko-KR"/>
        </w:rPr>
      </w:pPr>
      <w:r>
        <w:rPr>
          <w:bCs/>
          <w:iCs/>
          <w:lang w:val="en-US" w:eastAsia="ko-KR"/>
        </w:rPr>
        <w:t>For the inter-UE inter-subband CLI measurement,</w:t>
      </w:r>
      <w:r w:rsidR="00574AB0">
        <w:rPr>
          <w:bCs/>
          <w:iCs/>
          <w:lang w:val="en-US" w:eastAsia="ko-KR"/>
        </w:rPr>
        <w:t xml:space="preserve"> the methods agreed up to RAN1 #112bis-e consider the CLI measurements performed within the UL subband or within the DL subband. </w:t>
      </w:r>
      <w:r w:rsidR="004A1CCD">
        <w:rPr>
          <w:bCs/>
          <w:iCs/>
          <w:lang w:val="en-US" w:eastAsia="ko-KR"/>
        </w:rPr>
        <w:t xml:space="preserve">However, in RAN1 #112bis-e, it has been agreed to further study the measurements in the </w:t>
      </w:r>
      <w:proofErr w:type="spellStart"/>
      <w:r w:rsidR="004A1CCD">
        <w:rPr>
          <w:bCs/>
          <w:iCs/>
          <w:lang w:val="en-US" w:eastAsia="ko-KR"/>
        </w:rPr>
        <w:t>guardband</w:t>
      </w:r>
      <w:proofErr w:type="spellEnd"/>
      <w:r w:rsidR="004A1CCD">
        <w:rPr>
          <w:bCs/>
          <w:iCs/>
          <w:lang w:val="en-US" w:eastAsia="ko-KR"/>
        </w:rPr>
        <w:t xml:space="preserve"> for the purpose of CLI measurement. </w:t>
      </w:r>
      <w:r w:rsidR="00D962E7">
        <w:rPr>
          <w:bCs/>
          <w:iCs/>
          <w:lang w:val="en-US" w:eastAsia="ko-KR"/>
        </w:rPr>
        <w:t xml:space="preserve">In RAN1 #113 </w:t>
      </w:r>
      <w:r w:rsidR="005C5A52">
        <w:rPr>
          <w:bCs/>
          <w:iCs/>
          <w:lang w:val="en-US" w:eastAsia="ko-KR"/>
        </w:rPr>
        <w:t xml:space="preserve">conclusions on the advantages </w:t>
      </w:r>
      <w:r w:rsidR="006E5FD7">
        <w:rPr>
          <w:bCs/>
          <w:iCs/>
          <w:lang w:val="en-US" w:eastAsia="ko-KR"/>
        </w:rPr>
        <w:t xml:space="preserve">of the different methods were captured in the TR. </w:t>
      </w:r>
    </w:p>
    <w:p w14:paraId="3706EA8F" w14:textId="1FEC115D" w:rsidR="00982AA4" w:rsidRDefault="008B39B8" w:rsidP="00802AAE">
      <w:pPr>
        <w:spacing w:after="120"/>
        <w:jc w:val="both"/>
        <w:rPr>
          <w:bCs/>
          <w:iCs/>
          <w:lang w:val="en-US" w:eastAsia="ko-KR"/>
        </w:rPr>
      </w:pPr>
      <w:r>
        <w:rPr>
          <w:bCs/>
          <w:iCs/>
          <w:lang w:val="en-US" w:eastAsia="ko-KR"/>
        </w:rPr>
        <w:t>In addition to methods 1, 2 and 3, w</w:t>
      </w:r>
      <w:r w:rsidR="004A1CCD">
        <w:rPr>
          <w:bCs/>
          <w:iCs/>
          <w:lang w:val="en-US" w:eastAsia="ko-KR"/>
        </w:rPr>
        <w:t xml:space="preserve">e see advantages </w:t>
      </w:r>
      <w:r w:rsidR="00AA5A92">
        <w:rPr>
          <w:bCs/>
          <w:iCs/>
          <w:lang w:val="en-US" w:eastAsia="ko-KR"/>
        </w:rPr>
        <w:t>of</w:t>
      </w:r>
      <w:r w:rsidR="004A1CCD">
        <w:rPr>
          <w:bCs/>
          <w:iCs/>
          <w:lang w:val="en-US" w:eastAsia="ko-KR"/>
        </w:rPr>
        <w:t xml:space="preserve"> the </w:t>
      </w:r>
      <w:r w:rsidR="00BA242B">
        <w:rPr>
          <w:bCs/>
          <w:iCs/>
          <w:lang w:val="en-US" w:eastAsia="ko-KR"/>
        </w:rPr>
        <w:t xml:space="preserve">measurements within the </w:t>
      </w:r>
      <w:proofErr w:type="spellStart"/>
      <w:r w:rsidR="00BA242B">
        <w:rPr>
          <w:bCs/>
          <w:iCs/>
          <w:lang w:val="en-US" w:eastAsia="ko-KR"/>
        </w:rPr>
        <w:t>guardbands</w:t>
      </w:r>
      <w:proofErr w:type="spellEnd"/>
      <w:r w:rsidR="00982AA4">
        <w:rPr>
          <w:bCs/>
          <w:iCs/>
          <w:lang w:val="en-US" w:eastAsia="ko-KR"/>
        </w:rPr>
        <w:t xml:space="preserve"> when compared to Method #1, in which the victim UE measures RSSI within the DL subband. In the DL subband, the UE would measure both the leakage from transmissions from the aggressor UEs, and the </w:t>
      </w:r>
      <w:r w:rsidR="00F11A19">
        <w:rPr>
          <w:bCs/>
          <w:iCs/>
          <w:lang w:val="en-US" w:eastAsia="ko-KR"/>
        </w:rPr>
        <w:t>power</w:t>
      </w:r>
      <w:r w:rsidR="00EE4B6B">
        <w:rPr>
          <w:bCs/>
          <w:iCs/>
          <w:lang w:val="en-US" w:eastAsia="ko-KR"/>
        </w:rPr>
        <w:t xml:space="preserve"> received from </w:t>
      </w:r>
      <w:r w:rsidR="00F11A19">
        <w:rPr>
          <w:bCs/>
          <w:iCs/>
          <w:lang w:val="en-US" w:eastAsia="ko-KR"/>
        </w:rPr>
        <w:t xml:space="preserve">the </w:t>
      </w:r>
      <w:r w:rsidR="00982AA4">
        <w:rPr>
          <w:bCs/>
          <w:iCs/>
          <w:lang w:val="en-US" w:eastAsia="ko-KR"/>
        </w:rPr>
        <w:t xml:space="preserve">gNB </w:t>
      </w:r>
      <w:r w:rsidR="00EE4B6B">
        <w:rPr>
          <w:bCs/>
          <w:iCs/>
          <w:lang w:val="en-US" w:eastAsia="ko-KR"/>
        </w:rPr>
        <w:t xml:space="preserve">DL </w:t>
      </w:r>
      <w:r w:rsidR="00F11A19">
        <w:rPr>
          <w:bCs/>
          <w:iCs/>
          <w:lang w:val="en-US" w:eastAsia="ko-KR"/>
        </w:rPr>
        <w:t xml:space="preserve">transmissions </w:t>
      </w:r>
      <w:r w:rsidR="00982AA4">
        <w:rPr>
          <w:bCs/>
          <w:iCs/>
          <w:lang w:val="en-US" w:eastAsia="ko-KR"/>
        </w:rPr>
        <w:t xml:space="preserve">– unless the gNB </w:t>
      </w:r>
      <w:r w:rsidR="009D730B">
        <w:rPr>
          <w:bCs/>
          <w:iCs/>
          <w:lang w:val="en-US" w:eastAsia="ko-KR"/>
        </w:rPr>
        <w:t xml:space="preserve">mutes its own resources during the RSSI measurements. </w:t>
      </w:r>
      <w:r w:rsidR="00893213">
        <w:rPr>
          <w:bCs/>
          <w:iCs/>
          <w:lang w:val="en-US" w:eastAsia="ko-KR"/>
        </w:rPr>
        <w:t xml:space="preserve">Therefore, the obvious advantage of the </w:t>
      </w:r>
      <w:r w:rsidR="00F23243">
        <w:rPr>
          <w:bCs/>
          <w:iCs/>
          <w:lang w:val="en-US" w:eastAsia="ko-KR"/>
        </w:rPr>
        <w:t>CLI</w:t>
      </w:r>
      <w:r w:rsidR="00A760DF">
        <w:rPr>
          <w:bCs/>
          <w:iCs/>
          <w:lang w:val="en-US" w:eastAsia="ko-KR"/>
        </w:rPr>
        <w:t xml:space="preserve"> measurements within the </w:t>
      </w:r>
      <w:proofErr w:type="spellStart"/>
      <w:r w:rsidR="007650BA">
        <w:rPr>
          <w:bCs/>
          <w:iCs/>
          <w:lang w:val="en-US" w:eastAsia="ko-KR"/>
        </w:rPr>
        <w:t>guardband</w:t>
      </w:r>
      <w:proofErr w:type="spellEnd"/>
      <w:r w:rsidR="00A760DF">
        <w:rPr>
          <w:bCs/>
          <w:iCs/>
          <w:lang w:val="en-US" w:eastAsia="ko-KR"/>
        </w:rPr>
        <w:t xml:space="preserve"> </w:t>
      </w:r>
      <w:r w:rsidR="007650BA">
        <w:rPr>
          <w:bCs/>
          <w:iCs/>
          <w:lang w:val="en-US" w:eastAsia="ko-KR"/>
        </w:rPr>
        <w:t>is the</w:t>
      </w:r>
      <w:r w:rsidR="00304C53">
        <w:rPr>
          <w:bCs/>
          <w:iCs/>
          <w:lang w:val="en-US" w:eastAsia="ko-KR"/>
        </w:rPr>
        <w:t xml:space="preserve"> possibility of measuring the UL leakage without muting the DL transmissions at the gNB</w:t>
      </w:r>
      <w:r w:rsidR="00B50820">
        <w:rPr>
          <w:bCs/>
          <w:iCs/>
          <w:lang w:val="en-US" w:eastAsia="ko-KR"/>
        </w:rPr>
        <w:t>, so it leads to a better resource utilization.</w:t>
      </w:r>
      <w:r w:rsidR="00AB5119">
        <w:rPr>
          <w:bCs/>
          <w:iCs/>
          <w:lang w:val="en-US" w:eastAsia="ko-KR"/>
        </w:rPr>
        <w:t xml:space="preserve"> </w:t>
      </w:r>
      <w:r w:rsidR="001A0C1D">
        <w:rPr>
          <w:bCs/>
          <w:iCs/>
          <w:lang w:val="en-US" w:eastAsia="ko-KR"/>
        </w:rPr>
        <w:t xml:space="preserve">Furthermore, by allowing an RSSI measurement to be configured also in the guard-bands, the network could </w:t>
      </w:r>
      <w:r w:rsidR="000C2AF7">
        <w:rPr>
          <w:bCs/>
          <w:iCs/>
          <w:lang w:val="en-US" w:eastAsia="ko-KR"/>
        </w:rPr>
        <w:t xml:space="preserve">in principle </w:t>
      </w:r>
      <w:r w:rsidR="000A4370">
        <w:rPr>
          <w:bCs/>
          <w:iCs/>
          <w:lang w:val="en-US" w:eastAsia="ko-KR"/>
        </w:rPr>
        <w:t xml:space="preserve">allocate a wideband resource for the RSSI measurements, </w:t>
      </w:r>
      <w:proofErr w:type="gramStart"/>
      <w:r w:rsidR="000A4370">
        <w:rPr>
          <w:bCs/>
          <w:iCs/>
          <w:lang w:val="en-US" w:eastAsia="ko-KR"/>
        </w:rPr>
        <w:t>i.e.</w:t>
      </w:r>
      <w:proofErr w:type="gramEnd"/>
      <w:r w:rsidR="000A4370">
        <w:rPr>
          <w:bCs/>
          <w:iCs/>
          <w:lang w:val="en-US" w:eastAsia="ko-KR"/>
        </w:rPr>
        <w:t xml:space="preserve"> </w:t>
      </w:r>
      <w:r w:rsidR="000614EA">
        <w:rPr>
          <w:bCs/>
          <w:iCs/>
          <w:lang w:val="en-US" w:eastAsia="ko-KR"/>
        </w:rPr>
        <w:t xml:space="preserve">spanning through different subbands, and the UE could report the results </w:t>
      </w:r>
      <w:r w:rsidR="00327460">
        <w:rPr>
          <w:bCs/>
          <w:iCs/>
          <w:lang w:val="en-US" w:eastAsia="ko-KR"/>
        </w:rPr>
        <w:t>per subband type, for example: DL, UL or Guardband. Using these reports, the gNB could compare the RSSI in different subbands, resulting in a more accurate measurement in the ed.</w:t>
      </w:r>
    </w:p>
    <w:p w14:paraId="35282253" w14:textId="22D7F75E" w:rsidR="00B50820" w:rsidRDefault="000C35E6" w:rsidP="00802AAE">
      <w:pPr>
        <w:spacing w:after="120"/>
        <w:jc w:val="both"/>
        <w:rPr>
          <w:bCs/>
          <w:iCs/>
          <w:lang w:val="en-US" w:eastAsia="ko-KR"/>
        </w:rPr>
      </w:pPr>
      <w:r w:rsidRPr="00810748">
        <w:rPr>
          <w:lang w:eastAsia="ko-KR"/>
        </w:rPr>
        <w:t xml:space="preserve"> The possibility of configuring an RSSI measurement in </w:t>
      </w:r>
      <w:r w:rsidR="00376A94" w:rsidRPr="00810748">
        <w:rPr>
          <w:lang w:eastAsia="ko-KR"/>
        </w:rPr>
        <w:t xml:space="preserve">DL subbands, UL </w:t>
      </w:r>
      <w:proofErr w:type="spellStart"/>
      <w:r w:rsidR="00376A94" w:rsidRPr="00810748">
        <w:rPr>
          <w:lang w:eastAsia="ko-KR"/>
        </w:rPr>
        <w:t>subbands</w:t>
      </w:r>
      <w:proofErr w:type="spellEnd"/>
      <w:r w:rsidR="00376A94" w:rsidRPr="00810748">
        <w:rPr>
          <w:lang w:eastAsia="ko-KR"/>
        </w:rPr>
        <w:t xml:space="preserve"> and </w:t>
      </w:r>
      <w:proofErr w:type="spellStart"/>
      <w:r w:rsidR="00376A94" w:rsidRPr="00810748">
        <w:rPr>
          <w:lang w:eastAsia="ko-KR"/>
        </w:rPr>
        <w:t>guardbands</w:t>
      </w:r>
      <w:proofErr w:type="spellEnd"/>
      <w:r w:rsidR="00376A94" w:rsidRPr="00810748">
        <w:rPr>
          <w:lang w:eastAsia="ko-KR"/>
        </w:rPr>
        <w:t xml:space="preserve"> </w:t>
      </w:r>
      <w:r w:rsidR="00F77CBD" w:rsidRPr="00810748">
        <w:rPr>
          <w:lang w:eastAsia="ko-KR"/>
        </w:rPr>
        <w:t xml:space="preserve">allows the </w:t>
      </w:r>
      <w:proofErr w:type="spellStart"/>
      <w:r w:rsidR="00F77CBD" w:rsidRPr="00810748">
        <w:rPr>
          <w:lang w:eastAsia="ko-KR"/>
        </w:rPr>
        <w:t>gNB</w:t>
      </w:r>
      <w:proofErr w:type="spellEnd"/>
      <w:r w:rsidR="00F77CBD" w:rsidRPr="00810748">
        <w:rPr>
          <w:lang w:eastAsia="ko-KR"/>
        </w:rPr>
        <w:t xml:space="preserve"> to configure a wideband RSSI measurement, across different types of subbands. The UE can use the </w:t>
      </w:r>
      <w:r w:rsidR="00D52D23" w:rsidRPr="00810748">
        <w:rPr>
          <w:lang w:eastAsia="ko-KR"/>
        </w:rPr>
        <w:t xml:space="preserve">measurement results to assess </w:t>
      </w:r>
      <w:r w:rsidR="00FD6F99" w:rsidRPr="00810748">
        <w:rPr>
          <w:lang w:eastAsia="ko-KR"/>
        </w:rPr>
        <w:t xml:space="preserve">simultaneously the RSSI in different </w:t>
      </w:r>
      <w:r w:rsidR="00750824" w:rsidRPr="00810748">
        <w:rPr>
          <w:lang w:eastAsia="ko-KR"/>
        </w:rPr>
        <w:t xml:space="preserve">types of </w:t>
      </w:r>
      <w:proofErr w:type="spellStart"/>
      <w:r w:rsidR="00FD6F99" w:rsidRPr="00810748">
        <w:rPr>
          <w:lang w:eastAsia="ko-KR"/>
        </w:rPr>
        <w:t>subbands</w:t>
      </w:r>
      <w:proofErr w:type="spellEnd"/>
      <w:r w:rsidR="00FD6F99" w:rsidRPr="00810748">
        <w:rPr>
          <w:lang w:eastAsia="ko-KR"/>
        </w:rPr>
        <w:t>.</w:t>
      </w:r>
      <w:r w:rsidR="0066673B">
        <w:rPr>
          <w:lang w:eastAsia="ko-KR"/>
        </w:rPr>
        <w:t xml:space="preserve"> </w:t>
      </w:r>
      <w:r w:rsidR="009B7907" w:rsidRPr="00750824">
        <w:rPr>
          <w:bCs/>
          <w:iCs/>
          <w:lang w:val="en-US" w:eastAsia="ko-KR"/>
        </w:rPr>
        <w:t>One option</w:t>
      </w:r>
      <w:r w:rsidR="009B7907">
        <w:rPr>
          <w:bCs/>
          <w:iCs/>
          <w:lang w:val="en-US" w:eastAsia="ko-KR"/>
        </w:rPr>
        <w:t xml:space="preserve"> to configure the measurements within the </w:t>
      </w:r>
      <w:proofErr w:type="spellStart"/>
      <w:r w:rsidR="009B7907">
        <w:rPr>
          <w:bCs/>
          <w:iCs/>
          <w:lang w:val="en-US" w:eastAsia="ko-KR"/>
        </w:rPr>
        <w:t>guardbands</w:t>
      </w:r>
      <w:proofErr w:type="spellEnd"/>
      <w:r w:rsidR="009B7907">
        <w:rPr>
          <w:bCs/>
          <w:iCs/>
          <w:lang w:val="en-US" w:eastAsia="ko-KR"/>
        </w:rPr>
        <w:t xml:space="preserve"> is to configure zero power CSI-RS</w:t>
      </w:r>
      <w:r w:rsidR="004C0DA9">
        <w:rPr>
          <w:bCs/>
          <w:iCs/>
          <w:lang w:val="en-US" w:eastAsia="ko-KR"/>
        </w:rPr>
        <w:t xml:space="preserve">. This wouldn’t lead to any transmissions </w:t>
      </w:r>
      <w:r w:rsidR="00317896">
        <w:rPr>
          <w:bCs/>
          <w:iCs/>
          <w:lang w:val="en-US" w:eastAsia="ko-KR"/>
        </w:rPr>
        <w:t xml:space="preserve">within the </w:t>
      </w:r>
      <w:proofErr w:type="spellStart"/>
      <w:r w:rsidR="00317896">
        <w:rPr>
          <w:bCs/>
          <w:iCs/>
          <w:lang w:val="en-US" w:eastAsia="ko-KR"/>
        </w:rPr>
        <w:t>guardband</w:t>
      </w:r>
      <w:proofErr w:type="spellEnd"/>
      <w:r w:rsidR="00317896">
        <w:rPr>
          <w:bCs/>
          <w:iCs/>
          <w:lang w:val="en-US" w:eastAsia="ko-KR"/>
        </w:rPr>
        <w:t xml:space="preserve">, so it would be in accordance </w:t>
      </w:r>
      <w:r w:rsidR="000752E5">
        <w:rPr>
          <w:bCs/>
          <w:iCs/>
          <w:lang w:val="en-US" w:eastAsia="ko-KR"/>
        </w:rPr>
        <w:t>with</w:t>
      </w:r>
      <w:r w:rsidR="00317896">
        <w:rPr>
          <w:bCs/>
          <w:iCs/>
          <w:lang w:val="en-US" w:eastAsia="ko-KR"/>
        </w:rPr>
        <w:t xml:space="preserve"> the agreement made in RAN1 #112bis-e.</w:t>
      </w:r>
    </w:p>
    <w:p w14:paraId="7D145B11" w14:textId="512F9775" w:rsidR="004C090A" w:rsidRDefault="007F114D" w:rsidP="00802AAE">
      <w:pPr>
        <w:spacing w:after="120"/>
        <w:jc w:val="both"/>
        <w:rPr>
          <w:bCs/>
          <w:iCs/>
          <w:lang w:val="en-US" w:eastAsia="ko-KR"/>
        </w:rPr>
      </w:pPr>
      <w:r w:rsidRPr="0018182C">
        <w:rPr>
          <w:bCs/>
          <w:iCs/>
          <w:lang w:val="en-US" w:eastAsia="ko-KR"/>
        </w:rPr>
        <w:t xml:space="preserve">As said in </w:t>
      </w:r>
      <w:r w:rsidR="0018182C" w:rsidRPr="0018182C">
        <w:rPr>
          <w:bCs/>
          <w:iCs/>
          <w:lang w:val="en-US" w:eastAsia="ko-KR"/>
        </w:rPr>
        <w:fldChar w:fldCharType="begin"/>
      </w:r>
      <w:r w:rsidR="0018182C" w:rsidRPr="0018182C">
        <w:rPr>
          <w:bCs/>
          <w:iCs/>
          <w:lang w:val="en-US" w:eastAsia="ko-KR"/>
        </w:rPr>
        <w:instrText xml:space="preserve"> REF _Ref135033083 \r </w:instrText>
      </w:r>
      <w:r w:rsidR="0018182C">
        <w:rPr>
          <w:bCs/>
          <w:iCs/>
          <w:lang w:val="en-US" w:eastAsia="ko-KR"/>
        </w:rPr>
        <w:instrText xml:space="preserve"> \* MERGEFORMAT </w:instrText>
      </w:r>
      <w:r w:rsidR="0018182C" w:rsidRPr="0018182C">
        <w:rPr>
          <w:bCs/>
          <w:iCs/>
          <w:lang w:val="en-US" w:eastAsia="ko-KR"/>
        </w:rPr>
        <w:fldChar w:fldCharType="separate"/>
      </w:r>
      <w:r w:rsidR="0018182C" w:rsidRPr="0018182C">
        <w:rPr>
          <w:bCs/>
          <w:iCs/>
          <w:lang w:val="en-US" w:eastAsia="ko-KR"/>
        </w:rPr>
        <w:t>[4]</w:t>
      </w:r>
      <w:r w:rsidR="0018182C" w:rsidRPr="0018182C">
        <w:rPr>
          <w:bCs/>
          <w:iCs/>
          <w:lang w:val="en-US" w:eastAsia="ko-KR"/>
        </w:rPr>
        <w:fldChar w:fldCharType="end"/>
      </w:r>
      <w:r w:rsidRPr="0018182C">
        <w:rPr>
          <w:bCs/>
          <w:iCs/>
          <w:lang w:val="en-US" w:eastAsia="ko-KR"/>
        </w:rPr>
        <w:t>,</w:t>
      </w:r>
      <w:r>
        <w:rPr>
          <w:bCs/>
          <w:iCs/>
          <w:lang w:val="en-US" w:eastAsia="ko-KR"/>
        </w:rPr>
        <w:t xml:space="preserve"> </w:t>
      </w:r>
      <w:r w:rsidR="00C82322">
        <w:rPr>
          <w:bCs/>
          <w:iCs/>
          <w:lang w:val="en-US" w:eastAsia="ko-KR"/>
        </w:rPr>
        <w:t>we do not see the different methods</w:t>
      </w:r>
      <w:r w:rsidR="00EA5DD5">
        <w:rPr>
          <w:bCs/>
          <w:iCs/>
          <w:lang w:val="en-US" w:eastAsia="ko-KR"/>
        </w:rPr>
        <w:t xml:space="preserve"> discussed in </w:t>
      </w:r>
      <w:r w:rsidR="004E1D77">
        <w:rPr>
          <w:bCs/>
          <w:iCs/>
          <w:lang w:val="en-US" w:eastAsia="ko-KR"/>
        </w:rPr>
        <w:t>RAN</w:t>
      </w:r>
      <w:r w:rsidR="00670C14">
        <w:rPr>
          <w:bCs/>
          <w:iCs/>
          <w:lang w:val="en-US" w:eastAsia="ko-KR"/>
        </w:rPr>
        <w:t>1 #112</w:t>
      </w:r>
      <w:r w:rsidR="00EA5DD5">
        <w:rPr>
          <w:bCs/>
          <w:iCs/>
          <w:lang w:val="en-US" w:eastAsia="ko-KR"/>
        </w:rPr>
        <w:t xml:space="preserve"> meeting</w:t>
      </w:r>
      <w:r w:rsidR="00C82322">
        <w:rPr>
          <w:bCs/>
          <w:iCs/>
          <w:lang w:val="en-US" w:eastAsia="ko-KR"/>
        </w:rPr>
        <w:t xml:space="preserve"> as mutually exclusive. </w:t>
      </w:r>
      <w:r w:rsidR="00B025B1">
        <w:rPr>
          <w:bCs/>
          <w:iCs/>
          <w:lang w:val="en-US" w:eastAsia="ko-KR"/>
        </w:rPr>
        <w:t>I</w:t>
      </w:r>
      <w:r w:rsidR="0097077E">
        <w:rPr>
          <w:bCs/>
          <w:iCs/>
          <w:lang w:val="en-US" w:eastAsia="ko-KR"/>
        </w:rPr>
        <w:t>n</w:t>
      </w:r>
      <w:r w:rsidR="00B025B1">
        <w:rPr>
          <w:bCs/>
          <w:iCs/>
          <w:lang w:val="en-US" w:eastAsia="ko-KR"/>
        </w:rPr>
        <w:t xml:space="preserve"> case of SB</w:t>
      </w:r>
      <w:r w:rsidR="003B5C3C">
        <w:rPr>
          <w:bCs/>
          <w:iCs/>
          <w:lang w:val="en-US" w:eastAsia="ko-KR"/>
        </w:rPr>
        <w:t>FD</w:t>
      </w:r>
      <w:r w:rsidR="00B025B1">
        <w:rPr>
          <w:bCs/>
          <w:iCs/>
          <w:lang w:val="en-US" w:eastAsia="ko-KR"/>
        </w:rPr>
        <w:t xml:space="preserve"> operation, </w:t>
      </w:r>
      <w:r w:rsidR="006D2B65">
        <w:rPr>
          <w:bCs/>
          <w:iCs/>
          <w:lang w:val="en-US" w:eastAsia="ko-KR"/>
        </w:rPr>
        <w:t xml:space="preserve">measurements of </w:t>
      </w:r>
      <w:r w:rsidR="00B025B1">
        <w:rPr>
          <w:bCs/>
          <w:iCs/>
          <w:lang w:val="en-US" w:eastAsia="ko-KR"/>
        </w:rPr>
        <w:t xml:space="preserve">both the CLI within the UL subband, and the CLI-leakage within the DL subband are important </w:t>
      </w:r>
      <w:r w:rsidR="006D2B65">
        <w:rPr>
          <w:bCs/>
          <w:iCs/>
          <w:lang w:val="en-US" w:eastAsia="ko-KR"/>
        </w:rPr>
        <w:t xml:space="preserve">for the network to </w:t>
      </w:r>
      <w:r w:rsidR="006C5840">
        <w:rPr>
          <w:bCs/>
          <w:iCs/>
          <w:lang w:val="en-US" w:eastAsia="ko-KR"/>
        </w:rPr>
        <w:t>handle the UE-UE CLI</w:t>
      </w:r>
      <w:r w:rsidR="00724C87">
        <w:rPr>
          <w:bCs/>
          <w:iCs/>
          <w:lang w:val="en-US" w:eastAsia="ko-KR"/>
        </w:rPr>
        <w:t xml:space="preserve">, as the CLI within the UL subband will impact the </w:t>
      </w:r>
      <w:r w:rsidR="00677839">
        <w:rPr>
          <w:bCs/>
          <w:iCs/>
          <w:lang w:val="en-US" w:eastAsia="ko-KR"/>
        </w:rPr>
        <w:t xml:space="preserve">UE AGC and the </w:t>
      </w:r>
      <w:r w:rsidR="002062BF">
        <w:rPr>
          <w:bCs/>
          <w:iCs/>
          <w:lang w:val="en-US" w:eastAsia="ko-KR"/>
        </w:rPr>
        <w:t>leakage in the DL subband will impact the DL SINR and quantization.</w:t>
      </w:r>
      <w:r w:rsidR="004C090A">
        <w:rPr>
          <w:bCs/>
          <w:iCs/>
          <w:lang w:val="en-US" w:eastAsia="ko-KR"/>
        </w:rPr>
        <w:t xml:space="preserve"> </w:t>
      </w:r>
    </w:p>
    <w:p w14:paraId="7734C33E" w14:textId="43C52474" w:rsidR="00FB5577" w:rsidRDefault="00EA6F1B" w:rsidP="00802AAE">
      <w:pPr>
        <w:spacing w:after="120"/>
        <w:jc w:val="both"/>
        <w:rPr>
          <w:bCs/>
          <w:iCs/>
          <w:lang w:val="en-US" w:eastAsia="ko-KR"/>
        </w:rPr>
      </w:pPr>
      <w:r>
        <w:rPr>
          <w:bCs/>
          <w:iCs/>
          <w:lang w:val="en-US" w:eastAsia="ko-KR"/>
        </w:rPr>
        <w:t xml:space="preserve"> </w:t>
      </w:r>
      <w:r w:rsidR="00D106E0">
        <w:rPr>
          <w:bCs/>
          <w:iCs/>
          <w:lang w:val="en-US" w:eastAsia="ko-KR"/>
        </w:rPr>
        <w:t xml:space="preserve">In Rel-16 inter-UE CLI measurements, there were two types of measurements: RSSI and </w:t>
      </w:r>
      <w:r w:rsidR="00FB5577">
        <w:rPr>
          <w:bCs/>
          <w:iCs/>
          <w:lang w:val="en-US" w:eastAsia="ko-KR"/>
        </w:rPr>
        <w:t>CLI-SRS RSRP</w:t>
      </w:r>
      <w:r w:rsidR="00FA5412">
        <w:rPr>
          <w:bCs/>
          <w:iCs/>
          <w:lang w:val="en-US" w:eastAsia="ko-KR"/>
        </w:rPr>
        <w:t>, and the same could be defined for SBFD aware UEs.</w:t>
      </w:r>
      <w:r w:rsidR="00685817">
        <w:rPr>
          <w:bCs/>
          <w:iCs/>
          <w:lang w:val="en-US" w:eastAsia="ko-KR"/>
        </w:rPr>
        <w:t xml:space="preserve"> </w:t>
      </w:r>
    </w:p>
    <w:p w14:paraId="05B17939" w14:textId="16760EA6" w:rsidR="00F03DF4" w:rsidRDefault="006F1D12">
      <w:pPr>
        <w:pStyle w:val="Proposal"/>
        <w:rPr>
          <w:lang w:eastAsia="ko-KR"/>
        </w:rPr>
      </w:pPr>
      <w:bookmarkStart w:id="1164" w:name="_Toc142397685"/>
      <w:bookmarkStart w:id="1165" w:name="_Toc142397783"/>
      <w:bookmarkStart w:id="1166" w:name="_Toc142397990"/>
      <w:bookmarkStart w:id="1167" w:name="_Toc142399717"/>
      <w:bookmarkStart w:id="1168" w:name="_Toc142400803"/>
      <w:bookmarkStart w:id="1169" w:name="_Toc142400901"/>
      <w:bookmarkStart w:id="1170" w:name="_Toc142400999"/>
      <w:bookmarkStart w:id="1171" w:name="_Toc142401109"/>
      <w:bookmarkStart w:id="1172" w:name="_Toc142401282"/>
      <w:bookmarkStart w:id="1173" w:name="_Toc142394844"/>
      <w:bookmarkStart w:id="1174" w:name="_Toc142394936"/>
      <w:bookmarkStart w:id="1175" w:name="_Toc142397686"/>
      <w:bookmarkStart w:id="1176" w:name="_Toc142397784"/>
      <w:bookmarkStart w:id="1177" w:name="_Toc142397991"/>
      <w:bookmarkStart w:id="1178" w:name="_Toc142399718"/>
      <w:bookmarkStart w:id="1179" w:name="_Toc142400804"/>
      <w:bookmarkStart w:id="1180" w:name="_Toc142400902"/>
      <w:bookmarkStart w:id="1181" w:name="_Toc142401000"/>
      <w:bookmarkStart w:id="1182" w:name="_Toc142401110"/>
      <w:bookmarkStart w:id="1183" w:name="_Toc142401283"/>
      <w:bookmarkStart w:id="1184" w:name="_Toc142466624"/>
      <w:bookmarkStart w:id="1185" w:name="_Toc142481244"/>
      <w:bookmarkStart w:id="1186" w:name="_Toc142482058"/>
      <w:bookmarkEnd w:id="1164"/>
      <w:bookmarkEnd w:id="1165"/>
      <w:bookmarkEnd w:id="1166"/>
      <w:bookmarkEnd w:id="1167"/>
      <w:bookmarkEnd w:id="1168"/>
      <w:bookmarkEnd w:id="1169"/>
      <w:bookmarkEnd w:id="1170"/>
      <w:bookmarkEnd w:id="1171"/>
      <w:bookmarkEnd w:id="1172"/>
      <w:r>
        <w:rPr>
          <w:lang w:eastAsia="ko-KR"/>
        </w:rPr>
        <w:t>For inter-UE inter-subband CLI measurements, t</w:t>
      </w:r>
      <w:r w:rsidR="002C620E">
        <w:rPr>
          <w:lang w:eastAsia="ko-KR"/>
        </w:rPr>
        <w:t>he victim UE measures</w:t>
      </w:r>
      <w:r w:rsidR="00F71C2D">
        <w:rPr>
          <w:lang w:eastAsia="ko-KR"/>
        </w:rPr>
        <w:t xml:space="preserve"> at least</w:t>
      </w:r>
      <w:r w:rsidR="00F03DF4">
        <w:rPr>
          <w:lang w:eastAsia="ko-KR"/>
        </w:rPr>
        <w:t>:</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173156B5" w14:textId="77777777" w:rsidR="000F07F1" w:rsidRDefault="002C620E" w:rsidP="000F07F1">
      <w:pPr>
        <w:pStyle w:val="Proposal"/>
        <w:numPr>
          <w:ilvl w:val="0"/>
          <w:numId w:val="50"/>
        </w:numPr>
        <w:spacing w:before="0"/>
        <w:rPr>
          <w:lang w:eastAsia="ko-KR"/>
        </w:rPr>
      </w:pPr>
      <w:bookmarkStart w:id="1187" w:name="_Toc142394845"/>
      <w:bookmarkStart w:id="1188" w:name="_Toc142394937"/>
      <w:bookmarkStart w:id="1189" w:name="_Toc142397687"/>
      <w:bookmarkStart w:id="1190" w:name="_Toc142397785"/>
      <w:bookmarkStart w:id="1191" w:name="_Toc142397992"/>
      <w:bookmarkStart w:id="1192" w:name="_Toc142399719"/>
      <w:bookmarkStart w:id="1193" w:name="_Toc142400805"/>
      <w:bookmarkStart w:id="1194" w:name="_Toc142400903"/>
      <w:bookmarkStart w:id="1195" w:name="_Toc142401001"/>
      <w:bookmarkStart w:id="1196" w:name="_Toc142401111"/>
      <w:bookmarkStart w:id="1197" w:name="_Toc142401284"/>
      <w:bookmarkStart w:id="1198" w:name="_Toc142466625"/>
      <w:bookmarkStart w:id="1199" w:name="_Toc142481245"/>
      <w:bookmarkStart w:id="1200" w:name="_Toc142482059"/>
      <w:r>
        <w:rPr>
          <w:lang w:eastAsia="ko-KR"/>
        </w:rPr>
        <w:t>RSRP of the aggressor UE within UL subband</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0D64016" w14:textId="2797E884" w:rsidR="000F07F1" w:rsidRPr="000F07F1" w:rsidRDefault="000F07F1" w:rsidP="000F07F1">
      <w:pPr>
        <w:pStyle w:val="Proposal"/>
        <w:numPr>
          <w:ilvl w:val="0"/>
          <w:numId w:val="50"/>
        </w:numPr>
        <w:spacing w:before="0"/>
        <w:rPr>
          <w:lang w:eastAsia="ko-KR"/>
        </w:rPr>
      </w:pPr>
      <w:bookmarkStart w:id="1201" w:name="_Toc142394846"/>
      <w:bookmarkStart w:id="1202" w:name="_Toc142394938"/>
      <w:bookmarkStart w:id="1203" w:name="_Toc142397688"/>
      <w:bookmarkStart w:id="1204" w:name="_Toc142397786"/>
      <w:bookmarkStart w:id="1205" w:name="_Toc142397993"/>
      <w:bookmarkStart w:id="1206" w:name="_Toc142399720"/>
      <w:bookmarkStart w:id="1207" w:name="_Toc142400806"/>
      <w:bookmarkStart w:id="1208" w:name="_Toc142400904"/>
      <w:bookmarkStart w:id="1209" w:name="_Toc142401002"/>
      <w:bookmarkStart w:id="1210" w:name="_Toc142401112"/>
      <w:bookmarkStart w:id="1211" w:name="_Toc142401285"/>
      <w:bookmarkStart w:id="1212" w:name="_Toc142466626"/>
      <w:bookmarkStart w:id="1213" w:name="_Toc142481246"/>
      <w:bookmarkStart w:id="1214" w:name="_Toc142482060"/>
      <w:r>
        <w:rPr>
          <w:lang w:eastAsia="ko-KR"/>
        </w:rPr>
        <w:t xml:space="preserve">RSSI </w:t>
      </w:r>
      <w:r w:rsidR="004E0C2B">
        <w:rPr>
          <w:lang w:eastAsia="ko-KR"/>
        </w:rPr>
        <w:t xml:space="preserve">within the </w:t>
      </w:r>
      <w:proofErr w:type="spellStart"/>
      <w:r w:rsidR="004E0C2B">
        <w:rPr>
          <w:lang w:eastAsia="ko-KR"/>
        </w:rPr>
        <w:t>guardband</w:t>
      </w:r>
      <w:r w:rsidR="0035787B">
        <w:rPr>
          <w:lang w:eastAsia="ko-KR"/>
        </w:rPr>
        <w:t>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roofErr w:type="spellEnd"/>
    </w:p>
    <w:p w14:paraId="3765A1C0" w14:textId="2F90319E" w:rsidR="00BA5310" w:rsidRPr="008B5EC8" w:rsidRDefault="00CE1A9C" w:rsidP="005A2934">
      <w:pPr>
        <w:spacing w:after="120"/>
        <w:jc w:val="both"/>
        <w:rPr>
          <w:lang w:eastAsia="ko-KR"/>
        </w:rPr>
      </w:pPr>
      <w:r w:rsidRPr="005A2934">
        <w:rPr>
          <w:bCs/>
          <w:iCs/>
          <w:lang w:val="en-US" w:eastAsia="ko-KR"/>
        </w:rPr>
        <w:t>Additionally, in RAN1 #112bis-e, it has also been agreed to study the CLI-RSSI measurement/ report across DL subbands.</w:t>
      </w:r>
    </w:p>
    <w:tbl>
      <w:tblPr>
        <w:tblStyle w:val="TableGrid"/>
        <w:tblW w:w="0" w:type="auto"/>
        <w:tblLook w:val="04A0" w:firstRow="1" w:lastRow="0" w:firstColumn="1" w:lastColumn="0" w:noHBand="0" w:noVBand="1"/>
      </w:tblPr>
      <w:tblGrid>
        <w:gridCol w:w="9629"/>
      </w:tblGrid>
      <w:tr w:rsidR="00BA5310" w14:paraId="7E40CBE1" w14:textId="77777777" w:rsidTr="00BA5310">
        <w:tc>
          <w:tcPr>
            <w:tcW w:w="9629" w:type="dxa"/>
          </w:tcPr>
          <w:p w14:paraId="744ABA1C" w14:textId="77777777" w:rsidR="00BA5310" w:rsidRDefault="00BA5310" w:rsidP="00BA5310">
            <w:pPr>
              <w:spacing w:after="0"/>
              <w:rPr>
                <w:rFonts w:ascii="Times" w:eastAsia="Times New Roman" w:hAnsi="Times" w:cs="Times"/>
                <w:b/>
                <w:highlight w:val="green"/>
              </w:rPr>
            </w:pPr>
          </w:p>
          <w:p w14:paraId="71D2BD7A" w14:textId="77777777" w:rsidR="00BA5310" w:rsidRPr="00362B37" w:rsidRDefault="00BA5310" w:rsidP="00BA5310">
            <w:pPr>
              <w:spacing w:after="0"/>
              <w:rPr>
                <w:rFonts w:ascii="Times" w:eastAsia="Times New Roman" w:hAnsi="Times" w:cs="Times"/>
              </w:rPr>
            </w:pPr>
            <w:r w:rsidRPr="00362B37">
              <w:rPr>
                <w:rFonts w:ascii="Times" w:eastAsia="Times New Roman" w:hAnsi="Times" w:cs="Times"/>
                <w:b/>
                <w:highlight w:val="green"/>
              </w:rPr>
              <w:t>Agreement</w:t>
            </w:r>
          </w:p>
          <w:p w14:paraId="3CBBF485" w14:textId="77777777" w:rsidR="00BA5310" w:rsidRPr="00362B37" w:rsidRDefault="00BA5310" w:rsidP="00BA5310">
            <w:pPr>
              <w:spacing w:after="0"/>
              <w:ind w:left="540"/>
              <w:rPr>
                <w:rFonts w:ascii="Times" w:eastAsia="Times New Roman" w:hAnsi="Times" w:cs="Times"/>
              </w:rPr>
            </w:pPr>
            <w:r w:rsidRPr="00362B37">
              <w:rPr>
                <w:rFonts w:ascii="Times" w:eastAsia="Times New Roman" w:hAnsi="Times" w:cs="Times"/>
              </w:rPr>
              <w:t>For UE-to-UE CLI-RSSI measurement/report across downlink subbands, study the following methods:</w:t>
            </w:r>
          </w:p>
          <w:p w14:paraId="11A06E42" w14:textId="77777777" w:rsidR="00BA5310" w:rsidRPr="00362B37" w:rsidRDefault="00BA5310" w:rsidP="00BA5310">
            <w:pPr>
              <w:numPr>
                <w:ilvl w:val="0"/>
                <w:numId w:val="41"/>
              </w:numPr>
              <w:spacing w:after="0"/>
              <w:textAlignment w:val="center"/>
              <w:rPr>
                <w:rFonts w:ascii="Calibri" w:eastAsia="Times New Roman" w:hAnsi="Calibri" w:cs="Calibri"/>
                <w:lang w:val="en-US"/>
              </w:rPr>
            </w:pPr>
            <w:r w:rsidRPr="00362B37">
              <w:rPr>
                <w:rFonts w:ascii="Times" w:eastAsia="Times New Roman" w:hAnsi="Times" w:cs="Times"/>
                <w:lang w:val="en-US"/>
              </w:rPr>
              <w:t>Method#1: separate CLI-RSSI measurement resources/reports in each DL subband</w:t>
            </w:r>
          </w:p>
          <w:p w14:paraId="52B28895" w14:textId="77777777" w:rsidR="00BA5310" w:rsidRPr="00362B37" w:rsidRDefault="00BA5310" w:rsidP="00BA5310">
            <w:pPr>
              <w:numPr>
                <w:ilvl w:val="1"/>
                <w:numId w:val="41"/>
              </w:numPr>
              <w:spacing w:after="0"/>
              <w:textAlignment w:val="center"/>
              <w:rPr>
                <w:rFonts w:ascii="Calibri" w:eastAsia="Times New Roman" w:hAnsi="Calibri" w:cs="Calibri"/>
              </w:rPr>
            </w:pPr>
            <w:r w:rsidRPr="00362B37">
              <w:rPr>
                <w:rFonts w:ascii="Times" w:eastAsia="Times New Roman" w:hAnsi="Times" w:cs="Times"/>
              </w:rPr>
              <w:t>Note: supported in existing specifications</w:t>
            </w:r>
          </w:p>
          <w:p w14:paraId="262E9538" w14:textId="77777777" w:rsidR="00BA5310" w:rsidRPr="00362B37" w:rsidRDefault="00BA5310" w:rsidP="00BA5310">
            <w:pPr>
              <w:numPr>
                <w:ilvl w:val="0"/>
                <w:numId w:val="41"/>
              </w:numPr>
              <w:spacing w:after="0"/>
              <w:textAlignment w:val="center"/>
              <w:rPr>
                <w:rFonts w:ascii="Calibri" w:eastAsia="Times New Roman" w:hAnsi="Calibri" w:cs="Calibri"/>
                <w:lang w:val="en-US"/>
              </w:rPr>
            </w:pPr>
            <w:r w:rsidRPr="00362B37">
              <w:rPr>
                <w:rFonts w:ascii="Times" w:eastAsia="Times New Roman" w:hAnsi="Times" w:cs="Times"/>
                <w:lang w:val="en-US"/>
              </w:rPr>
              <w:t>Method#2: CLI-RSSI measure/report in one DL subband only</w:t>
            </w:r>
          </w:p>
          <w:p w14:paraId="641F5E0F" w14:textId="77777777" w:rsidR="00BA5310" w:rsidRPr="00362B37" w:rsidRDefault="00BA5310" w:rsidP="00BA5310">
            <w:pPr>
              <w:numPr>
                <w:ilvl w:val="1"/>
                <w:numId w:val="41"/>
              </w:numPr>
              <w:spacing w:after="0"/>
              <w:textAlignment w:val="center"/>
              <w:rPr>
                <w:rFonts w:ascii="Calibri" w:eastAsia="Times New Roman" w:hAnsi="Calibri" w:cs="Calibri"/>
              </w:rPr>
            </w:pPr>
            <w:r w:rsidRPr="00362B37">
              <w:rPr>
                <w:rFonts w:ascii="Times" w:eastAsia="Times New Roman" w:hAnsi="Times" w:cs="Times"/>
              </w:rPr>
              <w:t>Note: supported in existing specifications</w:t>
            </w:r>
          </w:p>
          <w:p w14:paraId="226841B0" w14:textId="77777777" w:rsidR="00BA5310" w:rsidRPr="00362B37" w:rsidRDefault="00BA5310" w:rsidP="00BA5310">
            <w:pPr>
              <w:numPr>
                <w:ilvl w:val="0"/>
                <w:numId w:val="41"/>
              </w:numPr>
              <w:spacing w:after="0"/>
              <w:textAlignment w:val="center"/>
              <w:rPr>
                <w:rFonts w:ascii="Calibri" w:eastAsia="Times New Roman" w:hAnsi="Calibri" w:cs="Calibri"/>
                <w:lang w:val="en-US"/>
              </w:rPr>
            </w:pPr>
            <w:r w:rsidRPr="00362B37">
              <w:rPr>
                <w:rFonts w:ascii="Times" w:eastAsia="Times New Roman" w:hAnsi="Times" w:cs="Times"/>
                <w:lang w:val="en-US"/>
              </w:rPr>
              <w:t>Method#3: CLI-RSSI measurement/report based on non-contiguous CLI-RSSI resource across downlink subbands</w:t>
            </w:r>
          </w:p>
          <w:p w14:paraId="14ACC76B" w14:textId="77777777" w:rsidR="00BA5310" w:rsidRPr="00362B37" w:rsidRDefault="00BA5310" w:rsidP="00BA5310">
            <w:pPr>
              <w:numPr>
                <w:ilvl w:val="1"/>
                <w:numId w:val="41"/>
              </w:numPr>
              <w:spacing w:after="0"/>
              <w:textAlignment w:val="center"/>
              <w:rPr>
                <w:rFonts w:ascii="Calibri" w:eastAsia="Times New Roman" w:hAnsi="Calibri" w:cs="Calibri"/>
              </w:rPr>
            </w:pPr>
            <w:r w:rsidRPr="00362B37">
              <w:rPr>
                <w:rFonts w:ascii="Times" w:eastAsia="Times New Roman" w:hAnsi="Times" w:cs="Times"/>
              </w:rPr>
              <w:t xml:space="preserve">FFS: report single or separate CLI-RSSI report(s) </w:t>
            </w:r>
          </w:p>
          <w:p w14:paraId="436B1C7A" w14:textId="1EB89D9F" w:rsidR="00BA5310" w:rsidRPr="00362B37" w:rsidRDefault="00BA5310" w:rsidP="00BA5310">
            <w:pPr>
              <w:numPr>
                <w:ilvl w:val="1"/>
                <w:numId w:val="41"/>
              </w:numPr>
              <w:spacing w:after="0"/>
              <w:textAlignment w:val="center"/>
              <w:rPr>
                <w:rFonts w:ascii="Calibri" w:eastAsia="Times New Roman" w:hAnsi="Calibri" w:cs="Calibri"/>
              </w:rPr>
            </w:pPr>
            <w:r w:rsidRPr="00362B37">
              <w:rPr>
                <w:rFonts w:ascii="Times" w:eastAsia="Times New Roman" w:hAnsi="Times" w:cs="Times"/>
              </w:rPr>
              <w:t xml:space="preserve">FFS: details on determination of non-contiguous CLI-RSSI resource allocation </w:t>
            </w:r>
          </w:p>
          <w:p w14:paraId="602D544B" w14:textId="77777777" w:rsidR="00BA5310" w:rsidRDefault="00BA5310" w:rsidP="00BA5310">
            <w:pPr>
              <w:pStyle w:val="00BodyText"/>
              <w:rPr>
                <w:lang w:eastAsia="ko-KR"/>
              </w:rPr>
            </w:pPr>
          </w:p>
        </w:tc>
      </w:tr>
    </w:tbl>
    <w:p w14:paraId="0EA01DFB" w14:textId="0C7B70A1" w:rsidR="00BA5310" w:rsidRDefault="00BA5310" w:rsidP="00BA5310">
      <w:pPr>
        <w:pStyle w:val="00BodyText"/>
        <w:rPr>
          <w:lang w:eastAsia="ko-KR"/>
        </w:rPr>
      </w:pPr>
    </w:p>
    <w:p w14:paraId="17CD14C6" w14:textId="45F5C0D2" w:rsidR="00750113" w:rsidRPr="001A7560" w:rsidRDefault="00496144" w:rsidP="001A7560">
      <w:pPr>
        <w:pStyle w:val="00BodyText"/>
        <w:jc w:val="both"/>
        <w:rPr>
          <w:rFonts w:ascii="Times New Roman" w:eastAsia="Times New Roman" w:hAnsi="Times New Roman"/>
          <w:sz w:val="20"/>
        </w:rPr>
      </w:pPr>
      <w:r w:rsidRPr="001A7560">
        <w:rPr>
          <w:rFonts w:ascii="Times New Roman" w:hAnsi="Times New Roman"/>
          <w:sz w:val="20"/>
          <w:lang w:eastAsia="ko-KR"/>
        </w:rPr>
        <w:t>We think the discussion on</w:t>
      </w:r>
      <w:r w:rsidRPr="001A7560">
        <w:rPr>
          <w:rFonts w:ascii="Times New Roman" w:eastAsia="Times New Roman" w:hAnsi="Times New Roman"/>
          <w:sz w:val="20"/>
        </w:rPr>
        <w:t xml:space="preserve"> CLI-RSSI measurement/report across downlink subbands </w:t>
      </w:r>
      <w:r w:rsidR="008227DF" w:rsidRPr="001A7560">
        <w:rPr>
          <w:rFonts w:ascii="Times New Roman" w:eastAsia="Times New Roman" w:hAnsi="Times New Roman"/>
          <w:sz w:val="20"/>
        </w:rPr>
        <w:t xml:space="preserve">in SBFD symbols </w:t>
      </w:r>
      <w:r w:rsidRPr="001A7560">
        <w:rPr>
          <w:rFonts w:ascii="Times New Roman" w:eastAsia="Times New Roman" w:hAnsi="Times New Roman"/>
          <w:sz w:val="20"/>
        </w:rPr>
        <w:t xml:space="preserve">is </w:t>
      </w:r>
      <w:r w:rsidR="000C2F85" w:rsidRPr="001A7560">
        <w:rPr>
          <w:rFonts w:ascii="Times New Roman" w:eastAsia="Times New Roman" w:hAnsi="Times New Roman"/>
          <w:sz w:val="20"/>
        </w:rPr>
        <w:t>strictly</w:t>
      </w:r>
      <w:r w:rsidR="000D34C8" w:rsidRPr="001A7560">
        <w:rPr>
          <w:rFonts w:ascii="Times New Roman" w:eastAsia="Times New Roman" w:hAnsi="Times New Roman"/>
          <w:sz w:val="20"/>
        </w:rPr>
        <w:t xml:space="preserve"> </w:t>
      </w:r>
      <w:r w:rsidRPr="001A7560">
        <w:rPr>
          <w:rFonts w:ascii="Times New Roman" w:eastAsia="Times New Roman" w:hAnsi="Times New Roman"/>
          <w:sz w:val="20"/>
        </w:rPr>
        <w:t>related to the discussion on CSI-RS measurement/report, especially when it comes t</w:t>
      </w:r>
      <w:r w:rsidR="006B624C" w:rsidRPr="001A7560">
        <w:rPr>
          <w:rFonts w:ascii="Times New Roman" w:eastAsia="Times New Roman" w:hAnsi="Times New Roman"/>
          <w:sz w:val="20"/>
        </w:rPr>
        <w:t xml:space="preserve">o </w:t>
      </w:r>
      <w:r w:rsidR="006437F8" w:rsidRPr="001A7560">
        <w:rPr>
          <w:rFonts w:ascii="Times New Roman" w:eastAsia="Times New Roman" w:hAnsi="Times New Roman"/>
          <w:sz w:val="20"/>
        </w:rPr>
        <w:t>resource configuration. Therefore</w:t>
      </w:r>
      <w:r w:rsidR="008227DF" w:rsidRPr="001A7560">
        <w:rPr>
          <w:rFonts w:ascii="Times New Roman" w:eastAsia="Times New Roman" w:hAnsi="Times New Roman"/>
          <w:sz w:val="20"/>
        </w:rPr>
        <w:t xml:space="preserve">, </w:t>
      </w:r>
      <w:r w:rsidR="006437F8" w:rsidRPr="001A7560">
        <w:rPr>
          <w:rFonts w:ascii="Times New Roman" w:eastAsia="Times New Roman" w:hAnsi="Times New Roman"/>
          <w:sz w:val="20"/>
        </w:rPr>
        <w:t>we propose to a</w:t>
      </w:r>
      <w:r w:rsidR="008227DF" w:rsidRPr="001A7560">
        <w:rPr>
          <w:rFonts w:ascii="Times New Roman" w:eastAsia="Times New Roman" w:hAnsi="Times New Roman"/>
          <w:sz w:val="20"/>
        </w:rPr>
        <w:t xml:space="preserve">lign the options </w:t>
      </w:r>
      <w:r w:rsidR="00541043" w:rsidRPr="001A7560">
        <w:rPr>
          <w:rFonts w:ascii="Times New Roman" w:eastAsia="Times New Roman" w:hAnsi="Times New Roman"/>
          <w:sz w:val="20"/>
        </w:rPr>
        <w:t xml:space="preserve">for </w:t>
      </w:r>
      <w:r w:rsidR="000D34C8" w:rsidRPr="001A7560">
        <w:rPr>
          <w:rFonts w:ascii="Times New Roman" w:eastAsia="Times New Roman" w:hAnsi="Times New Roman"/>
          <w:sz w:val="20"/>
        </w:rPr>
        <w:t xml:space="preserve">configuration of </w:t>
      </w:r>
      <w:r w:rsidR="00541043" w:rsidRPr="001A7560">
        <w:rPr>
          <w:rFonts w:ascii="Times New Roman" w:eastAsia="Times New Roman" w:hAnsi="Times New Roman"/>
          <w:sz w:val="20"/>
        </w:rPr>
        <w:t xml:space="preserve">CLI-RSSI </w:t>
      </w:r>
      <w:r w:rsidR="004B784D" w:rsidRPr="001A7560">
        <w:rPr>
          <w:rFonts w:ascii="Times New Roman" w:eastAsia="Times New Roman" w:hAnsi="Times New Roman"/>
          <w:sz w:val="20"/>
        </w:rPr>
        <w:t xml:space="preserve">and CSI-RS </w:t>
      </w:r>
      <w:r w:rsidR="000D34C8" w:rsidRPr="001A7560">
        <w:rPr>
          <w:rFonts w:ascii="Times New Roman" w:eastAsia="Times New Roman" w:hAnsi="Times New Roman"/>
          <w:sz w:val="20"/>
        </w:rPr>
        <w:t xml:space="preserve">resources </w:t>
      </w:r>
      <w:r w:rsidR="004B784D" w:rsidRPr="001A7560">
        <w:rPr>
          <w:rFonts w:ascii="Times New Roman" w:eastAsia="Times New Roman" w:hAnsi="Times New Roman"/>
          <w:sz w:val="20"/>
        </w:rPr>
        <w:t xml:space="preserve">across </w:t>
      </w:r>
      <w:r w:rsidR="001A7560" w:rsidRPr="001A7560">
        <w:rPr>
          <w:rFonts w:ascii="Times New Roman" w:eastAsia="Times New Roman" w:hAnsi="Times New Roman"/>
          <w:sz w:val="20"/>
        </w:rPr>
        <w:t>DL</w:t>
      </w:r>
      <w:r w:rsidR="004B784D" w:rsidRPr="001A7560">
        <w:rPr>
          <w:rFonts w:ascii="Times New Roman" w:eastAsia="Times New Roman" w:hAnsi="Times New Roman"/>
          <w:sz w:val="20"/>
        </w:rPr>
        <w:t xml:space="preserve"> subbands in SBFD symbols. </w:t>
      </w:r>
      <w:r w:rsidR="00207E05" w:rsidRPr="001A7560">
        <w:rPr>
          <w:rFonts w:ascii="Times New Roman" w:eastAsia="Times New Roman" w:hAnsi="Times New Roman"/>
          <w:sz w:val="20"/>
        </w:rPr>
        <w:t>We support</w:t>
      </w:r>
      <w:r w:rsidR="00750113" w:rsidRPr="001A7560">
        <w:rPr>
          <w:rFonts w:ascii="Times New Roman" w:eastAsia="Times New Roman" w:hAnsi="Times New Roman"/>
          <w:sz w:val="20"/>
        </w:rPr>
        <w:t>:</w:t>
      </w:r>
    </w:p>
    <w:p w14:paraId="2B4E37E8" w14:textId="748CDF8C" w:rsidR="00750113" w:rsidRPr="001A7560" w:rsidRDefault="004528E6" w:rsidP="001A7560">
      <w:pPr>
        <w:pStyle w:val="00BodyText"/>
        <w:numPr>
          <w:ilvl w:val="1"/>
          <w:numId w:val="41"/>
        </w:numPr>
        <w:jc w:val="both"/>
        <w:rPr>
          <w:rFonts w:ascii="Times New Roman" w:hAnsi="Times New Roman"/>
          <w:sz w:val="20"/>
          <w:lang w:eastAsia="ko-KR"/>
        </w:rPr>
      </w:pPr>
      <w:r w:rsidRPr="001A7560">
        <w:rPr>
          <w:rFonts w:ascii="Times New Roman" w:eastAsia="Times New Roman" w:hAnsi="Times New Roman"/>
          <w:sz w:val="20"/>
        </w:rPr>
        <w:t xml:space="preserve">configuration of non-contiguous CLI-RSSI resource allocation </w:t>
      </w:r>
      <w:r w:rsidR="00750113" w:rsidRPr="001A7560">
        <w:rPr>
          <w:rFonts w:ascii="Times New Roman" w:eastAsia="Times New Roman" w:hAnsi="Times New Roman"/>
          <w:sz w:val="20"/>
        </w:rPr>
        <w:t>equivalent</w:t>
      </w:r>
      <w:r w:rsidRPr="001A7560">
        <w:rPr>
          <w:rFonts w:ascii="Times New Roman" w:eastAsia="Times New Roman" w:hAnsi="Times New Roman"/>
          <w:sz w:val="20"/>
        </w:rPr>
        <w:t xml:space="preserve"> to Option 2-2 </w:t>
      </w:r>
      <w:r w:rsidR="00750113" w:rsidRPr="001A7560">
        <w:rPr>
          <w:rFonts w:ascii="Times New Roman" w:eastAsia="Times New Roman" w:hAnsi="Times New Roman"/>
          <w:sz w:val="20"/>
        </w:rPr>
        <w:t>for CSI-RS configuration</w:t>
      </w:r>
      <w:r w:rsidR="000C2F85" w:rsidRPr="001A7560">
        <w:rPr>
          <w:rFonts w:ascii="Times New Roman" w:eastAsia="Times New Roman" w:hAnsi="Times New Roman"/>
          <w:sz w:val="20"/>
        </w:rPr>
        <w:t xml:space="preserve"> (</w:t>
      </w:r>
      <w:proofErr w:type="gramStart"/>
      <w:r w:rsidR="001A7560" w:rsidRPr="001A7560">
        <w:rPr>
          <w:rFonts w:ascii="Times New Roman" w:eastAsia="Times New Roman" w:hAnsi="Times New Roman"/>
          <w:sz w:val="20"/>
        </w:rPr>
        <w:t>e.g.</w:t>
      </w:r>
      <w:proofErr w:type="gramEnd"/>
      <w:r w:rsidR="001A7560" w:rsidRPr="001A7560">
        <w:rPr>
          <w:rFonts w:ascii="Times New Roman" w:eastAsia="Times New Roman" w:hAnsi="Times New Roman"/>
          <w:sz w:val="20"/>
        </w:rPr>
        <w:t xml:space="preserve"> </w:t>
      </w:r>
      <w:r w:rsidR="000C2F85" w:rsidRPr="001A7560">
        <w:rPr>
          <w:rFonts w:ascii="Times New Roman" w:eastAsia="Times New Roman" w:hAnsi="Times New Roman"/>
          <w:sz w:val="20"/>
        </w:rPr>
        <w:t>one contiguous CLI-RSSI resource allocation with non-contiguous CLI-RS</w:t>
      </w:r>
      <w:r w:rsidR="001A7560" w:rsidRPr="001A7560">
        <w:rPr>
          <w:rFonts w:ascii="Times New Roman" w:eastAsia="Times New Roman" w:hAnsi="Times New Roman"/>
          <w:sz w:val="20"/>
        </w:rPr>
        <w:t>SI</w:t>
      </w:r>
      <w:r w:rsidR="000C2F85" w:rsidRPr="001A7560">
        <w:rPr>
          <w:rFonts w:ascii="Times New Roman" w:eastAsia="Times New Roman" w:hAnsi="Times New Roman"/>
          <w:sz w:val="20"/>
        </w:rPr>
        <w:t xml:space="preserve"> resource</w:t>
      </w:r>
      <w:r w:rsidR="001A7560" w:rsidRPr="001A7560">
        <w:rPr>
          <w:rFonts w:ascii="Times New Roman" w:eastAsia="Times New Roman" w:hAnsi="Times New Roman"/>
          <w:sz w:val="20"/>
        </w:rPr>
        <w:t>s</w:t>
      </w:r>
      <w:r w:rsidR="000C2F85" w:rsidRPr="001A7560">
        <w:rPr>
          <w:rFonts w:ascii="Times New Roman" w:eastAsia="Times New Roman" w:hAnsi="Times New Roman"/>
          <w:sz w:val="20"/>
        </w:rPr>
        <w:t xml:space="preserve"> </w:t>
      </w:r>
      <w:r w:rsidR="001A7560" w:rsidRPr="001A7560">
        <w:rPr>
          <w:rFonts w:ascii="Times New Roman" w:eastAsia="Times New Roman" w:hAnsi="Times New Roman"/>
          <w:sz w:val="20"/>
        </w:rPr>
        <w:t xml:space="preserve">across DL subbands </w:t>
      </w:r>
      <w:r w:rsidR="000C2F85" w:rsidRPr="001A7560">
        <w:rPr>
          <w:rFonts w:ascii="Times New Roman" w:eastAsia="Times New Roman" w:hAnsi="Times New Roman"/>
          <w:sz w:val="20"/>
        </w:rPr>
        <w:t>derived by excluding frequency resources outside DL subband(s</w:t>
      </w:r>
      <w:r w:rsidR="001A7560" w:rsidRPr="001A7560">
        <w:rPr>
          <w:rFonts w:ascii="Times New Roman" w:eastAsia="Times New Roman" w:hAnsi="Times New Roman"/>
          <w:sz w:val="20"/>
        </w:rPr>
        <w:t>))</w:t>
      </w:r>
    </w:p>
    <w:p w14:paraId="0C0F05B5" w14:textId="5C3E951B" w:rsidR="00314B76" w:rsidRPr="001A7560" w:rsidRDefault="00750113" w:rsidP="001A7560">
      <w:pPr>
        <w:pStyle w:val="00BodyText"/>
        <w:numPr>
          <w:ilvl w:val="1"/>
          <w:numId w:val="41"/>
        </w:numPr>
        <w:jc w:val="both"/>
        <w:rPr>
          <w:rFonts w:ascii="Times New Roman" w:hAnsi="Times New Roman"/>
          <w:sz w:val="20"/>
          <w:lang w:eastAsia="ko-KR"/>
        </w:rPr>
      </w:pPr>
      <w:r w:rsidRPr="001A7560">
        <w:rPr>
          <w:rFonts w:ascii="Times New Roman" w:eastAsia="Times New Roman" w:hAnsi="Times New Roman"/>
          <w:sz w:val="20"/>
        </w:rPr>
        <w:t>separate CLI-RSSI measurement reports in each DL subband (</w:t>
      </w:r>
      <w:proofErr w:type="gramStart"/>
      <w:r w:rsidRPr="001A7560">
        <w:rPr>
          <w:rFonts w:ascii="Times New Roman" w:eastAsia="Times New Roman" w:hAnsi="Times New Roman"/>
          <w:sz w:val="20"/>
        </w:rPr>
        <w:t>i.e.</w:t>
      </w:r>
      <w:proofErr w:type="gramEnd"/>
      <w:r w:rsidRPr="001A7560">
        <w:rPr>
          <w:rFonts w:ascii="Times New Roman" w:eastAsia="Times New Roman" w:hAnsi="Times New Roman"/>
          <w:sz w:val="20"/>
        </w:rPr>
        <w:t xml:space="preserve"> subband CLI</w:t>
      </w:r>
      <w:r w:rsidR="006A6D25" w:rsidRPr="001A7560">
        <w:rPr>
          <w:rFonts w:ascii="Times New Roman" w:eastAsia="Times New Roman" w:hAnsi="Times New Roman"/>
          <w:sz w:val="20"/>
        </w:rPr>
        <w:t>-RSSI report</w:t>
      </w:r>
      <w:r w:rsidR="006A3446">
        <w:rPr>
          <w:rFonts w:ascii="Times New Roman" w:eastAsia="Times New Roman" w:hAnsi="Times New Roman"/>
          <w:sz w:val="20"/>
        </w:rPr>
        <w:t>ing</w:t>
      </w:r>
      <w:r w:rsidR="006A6D25" w:rsidRPr="001A7560">
        <w:rPr>
          <w:rFonts w:ascii="Times New Roman" w:eastAsia="Times New Roman" w:hAnsi="Times New Roman"/>
          <w:sz w:val="20"/>
        </w:rPr>
        <w:t>)</w:t>
      </w:r>
    </w:p>
    <w:p w14:paraId="19291488" w14:textId="5DD92E3F" w:rsidR="00802AAE" w:rsidRPr="008E567A" w:rsidRDefault="00802AAE" w:rsidP="00802AAE">
      <w:pPr>
        <w:pStyle w:val="Heading4"/>
        <w:ind w:left="862" w:hanging="862"/>
        <w:rPr>
          <w:lang w:val="en-US"/>
        </w:rPr>
      </w:pPr>
      <w:r w:rsidRPr="008E567A">
        <w:rPr>
          <w:lang w:val="en-US"/>
        </w:rPr>
        <w:t xml:space="preserve">gNB-2-gNB CLI </w:t>
      </w:r>
    </w:p>
    <w:p w14:paraId="6D44F5C3" w14:textId="66757D2C" w:rsidR="003960BA" w:rsidRDefault="003960BA" w:rsidP="003960BA">
      <w:pPr>
        <w:jc w:val="both"/>
      </w:pPr>
      <w:r>
        <w:t xml:space="preserve">To avoid co-channel CLI in TDD deployments, coordinated scheduling might be achieved by simply aligning the TDD frame configuration among the neighbour cells. Concepts such as clustering of multiple </w:t>
      </w:r>
      <w:proofErr w:type="spellStart"/>
      <w:r>
        <w:t>gNBs</w:t>
      </w:r>
      <w:proofErr w:type="spellEnd"/>
      <w:r>
        <w:t xml:space="preserve"> is currently feasible by using the standardized</w:t>
      </w:r>
      <w:r w:rsidRPr="00FB3E00">
        <w:t xml:space="preserve"> </w:t>
      </w:r>
      <w:r w:rsidRPr="002D538D">
        <w:rPr>
          <w:i/>
          <w:iCs/>
        </w:rPr>
        <w:t>Intended TDD DL-UL Configuration</w:t>
      </w:r>
      <w:r>
        <w:t xml:space="preserve"> IE. In SBFD deployments, however, it is not currently possible to coordinate the sub-band configuration with the neighbour cells. The intra-subband cross-link interference can be completely removed if cells align the link direction of the sub-bands, which it is expected to provide performance benefits. Therefore, we propose </w:t>
      </w:r>
      <w:r w:rsidR="00E56A6D">
        <w:t xml:space="preserve">to extend </w:t>
      </w:r>
      <w:r>
        <w:t xml:space="preserve">the current framework of exchange of the intended TDD frame configuration over </w:t>
      </w:r>
      <w:proofErr w:type="spellStart"/>
      <w:r>
        <w:t>Xn</w:t>
      </w:r>
      <w:proofErr w:type="spellEnd"/>
      <w:r>
        <w:t xml:space="preserve"> interference to also support the intended subband configuration.</w:t>
      </w:r>
    </w:p>
    <w:p w14:paraId="640C7B49" w14:textId="62C94F23" w:rsidR="00802AAE" w:rsidRPr="007E623A" w:rsidRDefault="00C15BEE">
      <w:pPr>
        <w:pStyle w:val="Proposal"/>
        <w:rPr>
          <w:lang w:eastAsia="zh-CN"/>
        </w:rPr>
      </w:pPr>
      <w:bookmarkStart w:id="1215" w:name="_Toc142394847"/>
      <w:bookmarkStart w:id="1216" w:name="_Toc142394939"/>
      <w:bookmarkStart w:id="1217" w:name="_Toc142397689"/>
      <w:bookmarkStart w:id="1218" w:name="_Toc142397787"/>
      <w:bookmarkStart w:id="1219" w:name="_Toc142397994"/>
      <w:bookmarkStart w:id="1220" w:name="_Toc142399721"/>
      <w:bookmarkStart w:id="1221" w:name="_Toc142400807"/>
      <w:bookmarkStart w:id="1222" w:name="_Toc142400905"/>
      <w:bookmarkStart w:id="1223" w:name="_Toc142401003"/>
      <w:bookmarkStart w:id="1224" w:name="_Toc142401113"/>
      <w:bookmarkStart w:id="1225" w:name="_Toc142401286"/>
      <w:bookmarkStart w:id="1226" w:name="_Toc142466627"/>
      <w:bookmarkStart w:id="1227" w:name="_Toc142481247"/>
      <w:bookmarkStart w:id="1228" w:name="_Toc142482061"/>
      <w:r>
        <w:t>Capture the following conclusion in the TR:</w:t>
      </w:r>
      <w:r w:rsidR="00802AAE" w:rsidRPr="007E623A">
        <w:t xml:space="preserve"> exchange of intended </w:t>
      </w:r>
      <w:r w:rsidR="007B56A4">
        <w:t>SBFD</w:t>
      </w:r>
      <w:r w:rsidR="00802AAE" w:rsidRPr="007E623A">
        <w:t xml:space="preserve"> configuration </w:t>
      </w:r>
      <w:r w:rsidR="00E77B37">
        <w:t xml:space="preserve">between the </w:t>
      </w:r>
      <w:proofErr w:type="spellStart"/>
      <w:r w:rsidR="00E77B37">
        <w:t>gNBs</w:t>
      </w:r>
      <w:proofErr w:type="spellEnd"/>
      <w:r w:rsidR="00E77B37">
        <w:t xml:space="preserve">, </w:t>
      </w:r>
      <w:proofErr w:type="gramStart"/>
      <w:r w:rsidR="00E77B37">
        <w:t>e.g.</w:t>
      </w:r>
      <w:proofErr w:type="gramEnd"/>
      <w:r w:rsidR="00E77B37">
        <w:t xml:space="preserve"> </w:t>
      </w:r>
      <w:r w:rsidR="00802AAE" w:rsidRPr="007E623A">
        <w:t xml:space="preserve">over </w:t>
      </w:r>
      <w:proofErr w:type="spellStart"/>
      <w:r w:rsidR="00802AAE" w:rsidRPr="007E623A">
        <w:t>Xn</w:t>
      </w:r>
      <w:proofErr w:type="spellEnd"/>
      <w:r w:rsidR="00E77B37">
        <w:t xml:space="preserve"> in</w:t>
      </w:r>
      <w:r w:rsidR="009B4936">
        <w:t>terface, may be beneficial to reduce the int</w:t>
      </w:r>
      <w:r w:rsidR="006531B8">
        <w:t>er</w:t>
      </w:r>
      <w:r w:rsidR="009B4936">
        <w:t xml:space="preserve">-subband </w:t>
      </w:r>
      <w:r w:rsidR="006531B8">
        <w:t>interference and improve the SBFD performance.</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r w:rsidR="006531B8">
        <w:t xml:space="preserve"> </w:t>
      </w:r>
    </w:p>
    <w:p w14:paraId="4DE27AB5" w14:textId="3C92E7F8" w:rsidR="00802AAE" w:rsidRPr="008E567A" w:rsidRDefault="00802AAE" w:rsidP="00802AAE">
      <w:pPr>
        <w:pStyle w:val="Heading4"/>
        <w:rPr>
          <w:lang w:val="en-US"/>
        </w:rPr>
      </w:pPr>
      <w:r w:rsidRPr="008E567A">
        <w:rPr>
          <w:lang w:val="en-US"/>
        </w:rPr>
        <w:t>Self-interference</w:t>
      </w:r>
      <w:r w:rsidRPr="008E567A">
        <w:rPr>
          <w:color w:val="FF0000"/>
          <w:lang w:val="en-US"/>
        </w:rPr>
        <w:t xml:space="preserve"> </w:t>
      </w:r>
    </w:p>
    <w:p w14:paraId="048A4DC5" w14:textId="60A1B5F8" w:rsidR="00802AAE" w:rsidRPr="003D5A05" w:rsidRDefault="00802AAE" w:rsidP="00802AAE">
      <w:pPr>
        <w:spacing w:after="120"/>
        <w:jc w:val="both"/>
        <w:rPr>
          <w:bCs/>
          <w:lang w:val="en-US"/>
        </w:rPr>
      </w:pPr>
      <w:r w:rsidRPr="003D5A05">
        <w:rPr>
          <w:lang w:val="en-US"/>
        </w:rPr>
        <w:t>As discussed in our companion contribution on dynamic TDD enhancements [</w:t>
      </w:r>
      <w:r w:rsidR="000E46D3">
        <w:rPr>
          <w:lang w:val="en-US"/>
        </w:rPr>
        <w:t>7</w:t>
      </w:r>
      <w:r w:rsidRPr="003D5A05">
        <w:rPr>
          <w:lang w:val="en-US"/>
        </w:rPr>
        <w:t xml:space="preserve">], boosting the UE Tx power and/or reducing the gNB power in slots/symbols affected by gNB-to-gNB CLI from overlapping frequency resources can be a simple yet effective way to handle cross-link interference. Similar solutions may also be applicable with SBFD operation </w:t>
      </w:r>
      <w:proofErr w:type="gramStart"/>
      <w:r w:rsidRPr="003D5A05">
        <w:rPr>
          <w:lang w:val="en-US"/>
        </w:rPr>
        <w:t>e.g.</w:t>
      </w:r>
      <w:proofErr w:type="gramEnd"/>
      <w:r w:rsidRPr="003D5A05">
        <w:rPr>
          <w:lang w:val="en-US"/>
        </w:rPr>
        <w:t xml:space="preserve"> to compensate for the decrease in UL SINR due to gNB self-interference in SBFD symbols/slots. Therefore, we propose the following: </w:t>
      </w:r>
    </w:p>
    <w:p w14:paraId="14513D10" w14:textId="477C7A54" w:rsidR="00802AAE" w:rsidRPr="000005A2" w:rsidRDefault="00802AAE">
      <w:pPr>
        <w:pStyle w:val="Proposal"/>
      </w:pPr>
      <w:bookmarkStart w:id="1229" w:name="_Toc142394848"/>
      <w:bookmarkStart w:id="1230" w:name="_Toc142394940"/>
      <w:bookmarkStart w:id="1231" w:name="_Toc142397690"/>
      <w:bookmarkStart w:id="1232" w:name="_Toc142397788"/>
      <w:bookmarkStart w:id="1233" w:name="_Toc142397995"/>
      <w:bookmarkStart w:id="1234" w:name="_Toc142399722"/>
      <w:bookmarkStart w:id="1235" w:name="_Toc142400808"/>
      <w:bookmarkStart w:id="1236" w:name="_Toc142400906"/>
      <w:bookmarkStart w:id="1237" w:name="_Toc142401004"/>
      <w:bookmarkStart w:id="1238" w:name="_Toc142401114"/>
      <w:bookmarkStart w:id="1239" w:name="_Toc142401287"/>
      <w:bookmarkStart w:id="1240" w:name="_Toc142466628"/>
      <w:bookmarkStart w:id="1241" w:name="_Toc142481248"/>
      <w:bookmarkStart w:id="1242" w:name="_Toc142482062"/>
      <w:r w:rsidRPr="007E623A">
        <w:t>The potential benefits of boosting the UE Tx power and/or reducing the gNB power in SBFD slots/symbols shall be further investigated as a potential method to boost the UL received SINR in slots/symbols affected by gNB self-interference.</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50C02B2" w14:textId="77777777" w:rsidR="005D3542" w:rsidRDefault="005D3542" w:rsidP="005D3542">
      <w:pPr>
        <w:pStyle w:val="Heading3"/>
        <w:rPr>
          <w:lang w:val="en-US"/>
        </w:rPr>
      </w:pPr>
      <w:r w:rsidRPr="005D3542">
        <w:t>Controlling</w:t>
      </w:r>
      <w:r>
        <w:rPr>
          <w:lang w:val="en-US"/>
        </w:rPr>
        <w:t xml:space="preserve"> access to SBFD cells</w:t>
      </w:r>
    </w:p>
    <w:p w14:paraId="027118F0" w14:textId="77777777" w:rsidR="002C17EB" w:rsidRPr="008171C5" w:rsidRDefault="002C17EB" w:rsidP="002C17EB">
      <w:pPr>
        <w:spacing w:after="120"/>
        <w:jc w:val="both"/>
        <w:rPr>
          <w:b/>
          <w:lang w:val="en-US"/>
        </w:rPr>
      </w:pPr>
      <w:r w:rsidRPr="008171C5">
        <w:rPr>
          <w:lang w:val="en-US"/>
        </w:rPr>
        <w:t>When a SBFD cell is serving both legacy UEs and SBFD aware UEs, to simplify gNB implementation and/or to limit the impact on the performance of legacy UEs, the SBFD cell may decide to schedule legacy UEs only during DL-only (and U-only) slots, while SBFD-aware UEs may also be scheduled during SBFD slots.</w:t>
      </w:r>
    </w:p>
    <w:p w14:paraId="47D6636A" w14:textId="77777777" w:rsidR="002C17EB" w:rsidRPr="008171C5" w:rsidRDefault="002C17EB" w:rsidP="002C17EB">
      <w:pPr>
        <w:spacing w:after="120"/>
        <w:jc w:val="both"/>
        <w:rPr>
          <w:lang w:val="en-US" w:eastAsia="zh-CN"/>
        </w:rPr>
      </w:pPr>
      <w:r w:rsidRPr="008171C5">
        <w:rPr>
          <w:lang w:val="en-US" w:eastAsia="zh-CN"/>
        </w:rPr>
        <w:t xml:space="preserve">Also, it could happen that a cell TDD UL resources are close to full utilization while its SBFD UL resources are still (at least partially) unused. </w:t>
      </w:r>
    </w:p>
    <w:p w14:paraId="06B0A424" w14:textId="0F32F9D4" w:rsidR="002C17EB" w:rsidRPr="008171C5" w:rsidRDefault="002C17EB" w:rsidP="002C17EB">
      <w:pPr>
        <w:spacing w:after="120"/>
        <w:jc w:val="both"/>
        <w:rPr>
          <w:lang w:val="en-US"/>
        </w:rPr>
      </w:pPr>
      <w:r w:rsidRPr="008171C5">
        <w:rPr>
          <w:lang w:val="en-US" w:eastAsia="zh-CN"/>
        </w:rPr>
        <w:t xml:space="preserve">In any of the above situations, the network may want to facilitate SBFD aware UEs to (re)select a SBFD capable cell, while discouraging legacy UEs from doing the same. In other words, SBFD aware UEs could have higher probability of (re)selecting to a SBFD capable cell than legacy UEs. To partially achieve this, </w:t>
      </w:r>
      <w:r w:rsidRPr="008171C5">
        <w:rPr>
          <w:lang w:val="en-US"/>
        </w:rPr>
        <w:t xml:space="preserve">some companies have proposed </w:t>
      </w:r>
      <w:r w:rsidRPr="008171C5">
        <w:rPr>
          <w:lang w:val="en-US" w:eastAsia="zh-CN"/>
        </w:rPr>
        <w:t>to indicate future release UEs about the cell duplex operation mode</w:t>
      </w:r>
      <w:r w:rsidRPr="008171C5">
        <w:rPr>
          <w:lang w:val="en-US"/>
        </w:rPr>
        <w:t xml:space="preserve"> so that such indication can be used to facilitate UE’s cell selection, </w:t>
      </w:r>
      <w:proofErr w:type="gramStart"/>
      <w:r w:rsidRPr="008171C5">
        <w:rPr>
          <w:lang w:val="en-US"/>
        </w:rPr>
        <w:t>e.g.</w:t>
      </w:r>
      <w:proofErr w:type="gramEnd"/>
      <w:r w:rsidRPr="008171C5">
        <w:rPr>
          <w:lang w:val="en-US"/>
        </w:rPr>
        <w:t xml:space="preserve"> SBFD capable UE can prioritize SBFD cells over non-SBFD cells. An alternative solution, also enabling legacy UEs to de-prioritize SBFD cells, could be to signal SBFD-specific (re)selection offsets and/or priorities that SBFD aware UE shall apply when performing cell (re)selection. In any case, the specific solution is not for RAN1 to discuss. Therefore, we propose the following:   </w:t>
      </w:r>
    </w:p>
    <w:p w14:paraId="5EB01B16" w14:textId="4B7E0715" w:rsidR="005D3542" w:rsidRDefault="002C17EB">
      <w:pPr>
        <w:pStyle w:val="Proposal"/>
      </w:pPr>
      <w:bookmarkStart w:id="1243" w:name="_Toc142394849"/>
      <w:bookmarkStart w:id="1244" w:name="_Toc142394941"/>
      <w:bookmarkStart w:id="1245" w:name="_Toc142397691"/>
      <w:bookmarkStart w:id="1246" w:name="_Toc142397789"/>
      <w:bookmarkStart w:id="1247" w:name="_Toc142397996"/>
      <w:bookmarkStart w:id="1248" w:name="_Toc142399723"/>
      <w:bookmarkStart w:id="1249" w:name="_Toc142400809"/>
      <w:bookmarkStart w:id="1250" w:name="_Toc142400907"/>
      <w:bookmarkStart w:id="1251" w:name="_Toc142401005"/>
      <w:bookmarkStart w:id="1252" w:name="_Toc142401115"/>
      <w:bookmarkStart w:id="1253" w:name="_Toc142401288"/>
      <w:bookmarkStart w:id="1254" w:name="_Toc142466629"/>
      <w:bookmarkStart w:id="1255" w:name="_Toc142481249"/>
      <w:bookmarkStart w:id="1256" w:name="_Toc142482063"/>
      <w:r w:rsidRPr="007E623A">
        <w:t>RAN1 to study the potential benefits of SBFD aware UEs prioritizing SBFD cells and/or legacy UEs de-prioritizing SBFD cells when performing cell (re)selection. Detailed solutions are for RAN2 to discuss and specify if/when normative work for SBFD is agreed.</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3D0A2F83" w14:textId="77777777" w:rsidR="00BA2AD8" w:rsidRPr="00BA2AD8" w:rsidRDefault="00BA2AD8" w:rsidP="00BA2AD8">
      <w:pPr>
        <w:pStyle w:val="00BodyText"/>
      </w:pPr>
    </w:p>
    <w:p w14:paraId="01CC676C" w14:textId="62B82ED3" w:rsidR="00CD2B3B" w:rsidRDefault="00D94368" w:rsidP="00CD2B3B">
      <w:pPr>
        <w:pStyle w:val="Heading3"/>
        <w:rPr>
          <w:lang w:val="en-US"/>
        </w:rPr>
      </w:pPr>
      <w:r>
        <w:rPr>
          <w:lang w:val="en-US"/>
        </w:rPr>
        <w:t>UL/DL collision handling in SBFD slots/symbols</w:t>
      </w:r>
    </w:p>
    <w:p w14:paraId="0832B58A" w14:textId="77777777" w:rsidR="00C918CF" w:rsidRDefault="00C918CF" w:rsidP="008B0A81">
      <w:pPr>
        <w:contextualSpacing/>
        <w:jc w:val="both"/>
        <w:rPr>
          <w:lang w:val="en-US"/>
        </w:rPr>
      </w:pPr>
    </w:p>
    <w:p w14:paraId="1CCDB4EC" w14:textId="424C43B6" w:rsidR="00595E96" w:rsidRDefault="00EB703A" w:rsidP="008B0A81">
      <w:pPr>
        <w:contextualSpacing/>
        <w:jc w:val="both"/>
        <w:rPr>
          <w:lang w:val="en-US"/>
        </w:rPr>
      </w:pPr>
      <w:r w:rsidRPr="00595E96">
        <w:rPr>
          <w:lang w:val="en-US"/>
        </w:rPr>
        <w:t xml:space="preserve">In RAN1 #110bis-e meeting it </w:t>
      </w:r>
      <w:r w:rsidRPr="00D8302B">
        <w:rPr>
          <w:lang w:val="en-US"/>
        </w:rPr>
        <w:t>was agreed to</w:t>
      </w:r>
      <w:r w:rsidR="00D8302B" w:rsidRPr="00D8302B">
        <w:rPr>
          <w:lang w:val="en-US"/>
        </w:rPr>
        <w:t>:</w:t>
      </w:r>
      <w:r w:rsidRPr="00D8302B">
        <w:rPr>
          <w:lang w:val="en-US"/>
        </w:rPr>
        <w:t xml:space="preserve"> </w:t>
      </w:r>
    </w:p>
    <w:tbl>
      <w:tblPr>
        <w:tblStyle w:val="TableGrid"/>
        <w:tblW w:w="0" w:type="auto"/>
        <w:tblLook w:val="04A0" w:firstRow="1" w:lastRow="0" w:firstColumn="1" w:lastColumn="0" w:noHBand="0" w:noVBand="1"/>
      </w:tblPr>
      <w:tblGrid>
        <w:gridCol w:w="9629"/>
      </w:tblGrid>
      <w:tr w:rsidR="00CC4FA8" w14:paraId="4BD548D4" w14:textId="77777777" w:rsidTr="00D21CDE">
        <w:tc>
          <w:tcPr>
            <w:tcW w:w="9629" w:type="dxa"/>
          </w:tcPr>
          <w:p w14:paraId="0ECF92CE" w14:textId="77777777" w:rsidR="002F649C" w:rsidRPr="002F649C" w:rsidRDefault="002F649C" w:rsidP="002F649C">
            <w:pPr>
              <w:overflowPunct/>
              <w:autoSpaceDE/>
              <w:autoSpaceDN/>
              <w:adjustRightInd/>
              <w:spacing w:after="0"/>
              <w:ind w:left="540"/>
              <w:textAlignment w:val="auto"/>
              <w:rPr>
                <w:rFonts w:eastAsia="Times New Roman"/>
              </w:rPr>
            </w:pPr>
            <w:r w:rsidRPr="002F649C">
              <w:rPr>
                <w:rFonts w:eastAsia="Times New Roman"/>
                <w:highlight w:val="green"/>
              </w:rPr>
              <w:t>Agreement:</w:t>
            </w:r>
          </w:p>
          <w:p w14:paraId="4C3FB20A" w14:textId="77777777" w:rsidR="002F649C" w:rsidRPr="002F649C" w:rsidRDefault="002F649C" w:rsidP="002F649C">
            <w:pPr>
              <w:overflowPunct/>
              <w:autoSpaceDE/>
              <w:autoSpaceDN/>
              <w:adjustRightInd/>
              <w:spacing w:after="0"/>
              <w:ind w:left="540"/>
              <w:textAlignment w:val="auto"/>
              <w:rPr>
                <w:rFonts w:eastAsia="Times New Roman"/>
              </w:rPr>
            </w:pPr>
            <w:r w:rsidRPr="002F649C">
              <w:rPr>
                <w:rFonts w:eastAsia="Times New Roman"/>
              </w:rPr>
              <w:t xml:space="preserve">Identify if there are any cases of time domain conflict of UE’s UL and DL operation in the same SBFD symbol for SBFD aware UE </w:t>
            </w:r>
          </w:p>
          <w:p w14:paraId="429E153B" w14:textId="77777777" w:rsidR="002F649C" w:rsidRPr="002F649C" w:rsidRDefault="002F649C">
            <w:pPr>
              <w:numPr>
                <w:ilvl w:val="0"/>
                <w:numId w:val="27"/>
              </w:numPr>
              <w:overflowPunct/>
              <w:autoSpaceDE/>
              <w:autoSpaceDN/>
              <w:adjustRightInd/>
              <w:textAlignment w:val="center"/>
              <w:rPr>
                <w:rFonts w:ascii="Calibri" w:eastAsia="Times New Roman" w:hAnsi="Calibri" w:cs="Calibri"/>
                <w:sz w:val="22"/>
                <w:szCs w:val="22"/>
              </w:rPr>
            </w:pPr>
            <w:r w:rsidRPr="002F649C">
              <w:rPr>
                <w:rFonts w:eastAsia="Times New Roman"/>
              </w:rPr>
              <w:t>If there are, whether/how to avoid/handle such collision cases (as second step)</w:t>
            </w:r>
          </w:p>
          <w:p w14:paraId="6E729698" w14:textId="77777777" w:rsidR="00D21CDE" w:rsidRPr="002F649C" w:rsidRDefault="00D21CDE" w:rsidP="002F649C">
            <w:pPr>
              <w:jc w:val="both"/>
              <w:rPr>
                <w:lang w:val="en-US"/>
              </w:rPr>
            </w:pPr>
          </w:p>
        </w:tc>
      </w:tr>
    </w:tbl>
    <w:p w14:paraId="36E19E70" w14:textId="77777777" w:rsidR="00D06EFC" w:rsidRDefault="00D06EFC" w:rsidP="006564F4">
      <w:pPr>
        <w:contextualSpacing/>
        <w:jc w:val="both"/>
        <w:rPr>
          <w:lang w:val="en-US"/>
        </w:rPr>
      </w:pPr>
    </w:p>
    <w:p w14:paraId="22350D2F" w14:textId="089E2AEE" w:rsidR="006564F4" w:rsidRDefault="006564F4" w:rsidP="006564F4">
      <w:pPr>
        <w:contextualSpacing/>
        <w:jc w:val="both"/>
        <w:rPr>
          <w:lang w:val="en-US"/>
        </w:rPr>
      </w:pPr>
      <w:r>
        <w:rPr>
          <w:lang w:val="en-US"/>
        </w:rPr>
        <w:t xml:space="preserve">In RAN1 #111, there was a discussion about collision handling without agreements. </w:t>
      </w:r>
    </w:p>
    <w:tbl>
      <w:tblPr>
        <w:tblStyle w:val="TableGrid"/>
        <w:tblW w:w="0" w:type="auto"/>
        <w:tblLook w:val="04A0" w:firstRow="1" w:lastRow="0" w:firstColumn="1" w:lastColumn="0" w:noHBand="0" w:noVBand="1"/>
      </w:tblPr>
      <w:tblGrid>
        <w:gridCol w:w="9629"/>
      </w:tblGrid>
      <w:tr w:rsidR="006564F4" w14:paraId="02C7696B" w14:textId="77777777" w:rsidTr="00E31DDF">
        <w:tc>
          <w:tcPr>
            <w:tcW w:w="9629" w:type="dxa"/>
          </w:tcPr>
          <w:p w14:paraId="68478170" w14:textId="77777777" w:rsidR="006564F4" w:rsidRPr="00F1147D" w:rsidRDefault="006564F4" w:rsidP="00E31DDF">
            <w:pPr>
              <w:overflowPunct/>
              <w:autoSpaceDE/>
              <w:autoSpaceDN/>
              <w:adjustRightInd/>
              <w:spacing w:after="0"/>
              <w:rPr>
                <w:rFonts w:ascii="Segoe UI" w:eastAsia="Times New Roman" w:hAnsi="Segoe UI" w:cs="Segoe UI"/>
                <w:lang w:val="en-US"/>
              </w:rPr>
            </w:pPr>
            <w:r w:rsidRPr="00F1147D">
              <w:rPr>
                <w:rFonts w:ascii="Arial" w:eastAsia="Times New Roman" w:hAnsi="Arial" w:cs="Arial"/>
                <w:b/>
                <w:bCs/>
                <w:color w:val="001135"/>
                <w:position w:val="5"/>
              </w:rPr>
              <w:t>Proposal 1-12 </w:t>
            </w:r>
            <w:r w:rsidRPr="00F1147D">
              <w:rPr>
                <w:rFonts w:ascii="Arial" w:eastAsia="Times New Roman" w:hAnsi="Arial" w:cs="Arial"/>
                <w:lang w:val="en-US"/>
              </w:rPr>
              <w:t>​</w:t>
            </w:r>
          </w:p>
          <w:p w14:paraId="1A3D9CD3" w14:textId="77777777" w:rsidR="006564F4" w:rsidRPr="00F1147D" w:rsidRDefault="006564F4" w:rsidP="00E31DDF">
            <w:pPr>
              <w:overflowPunct/>
              <w:autoSpaceDE/>
              <w:autoSpaceDN/>
              <w:adjustRightInd/>
              <w:spacing w:after="0"/>
              <w:jc w:val="both"/>
              <w:rPr>
                <w:rFonts w:ascii="Segoe UI" w:eastAsia="Times New Roman" w:hAnsi="Segoe UI" w:cs="Segoe UI"/>
                <w:lang w:val="en-US"/>
              </w:rPr>
            </w:pPr>
            <w:r w:rsidRPr="00F1147D">
              <w:rPr>
                <w:rFonts w:eastAsia="Times New Roman"/>
                <w:b/>
                <w:bCs/>
                <w:color w:val="001135"/>
                <w:position w:val="5"/>
                <w:lang w:val="en-US"/>
              </w:rPr>
              <w:t>Proposed Conclusion:</w:t>
            </w:r>
            <w:r w:rsidRPr="00F1147D">
              <w:rPr>
                <w:rFonts w:eastAsia="Times New Roman"/>
                <w:lang w:val="en-US"/>
              </w:rPr>
              <w:t>​</w:t>
            </w:r>
          </w:p>
          <w:p w14:paraId="48B61D26" w14:textId="77777777" w:rsidR="006564F4" w:rsidRPr="00F1147D" w:rsidRDefault="006564F4" w:rsidP="00E31DDF">
            <w:pPr>
              <w:overflowPunct/>
              <w:autoSpaceDE/>
              <w:autoSpaceDN/>
              <w:adjustRightInd/>
              <w:spacing w:after="0"/>
              <w:jc w:val="both"/>
              <w:rPr>
                <w:rFonts w:ascii="Segoe UI" w:eastAsia="Times New Roman" w:hAnsi="Segoe UI" w:cs="Segoe UI"/>
                <w:lang w:val="en-US"/>
              </w:rPr>
            </w:pPr>
            <w:r w:rsidRPr="00F1147D">
              <w:rPr>
                <w:rFonts w:eastAsia="Times New Roman"/>
                <w:color w:val="001135"/>
                <w:position w:val="5"/>
                <w:lang w:val="en-US"/>
              </w:rPr>
              <w:t>At least the following cases</w:t>
            </w:r>
            <w:r w:rsidRPr="00F1147D">
              <w:rPr>
                <w:rFonts w:ascii="Times" w:eastAsia="Times New Roman" w:hAnsi="Times" w:cs="Times"/>
                <w:color w:val="001135"/>
                <w:position w:val="5"/>
              </w:rPr>
              <w:t> of time domain conflict of UL transmission and DL reception in the same SBFD symbol</w:t>
            </w:r>
            <w:r w:rsidRPr="00F1147D">
              <w:rPr>
                <w:rFonts w:eastAsia="Times New Roman"/>
                <w:color w:val="001135"/>
                <w:position w:val="5"/>
                <w:lang w:val="en-US"/>
              </w:rPr>
              <w:t> are identified.</w:t>
            </w:r>
            <w:r w:rsidRPr="00F1147D">
              <w:rPr>
                <w:rFonts w:eastAsia="Times New Roman"/>
                <w:lang w:val="en-US"/>
              </w:rPr>
              <w:t>​</w:t>
            </w:r>
          </w:p>
          <w:p w14:paraId="0D89141F" w14:textId="77777777" w:rsidR="006564F4" w:rsidRPr="00F1147D" w:rsidRDefault="006564F4">
            <w:pPr>
              <w:numPr>
                <w:ilvl w:val="0"/>
                <w:numId w:val="39"/>
              </w:numPr>
              <w:overflowPunct/>
              <w:autoSpaceDE/>
              <w:autoSpaceDN/>
              <w:adjustRightInd/>
              <w:spacing w:after="0"/>
              <w:ind w:left="1584" w:firstLine="0"/>
              <w:jc w:val="both"/>
              <w:rPr>
                <w:rFonts w:ascii="Arial" w:eastAsia="Times New Roman" w:hAnsi="Arial" w:cs="Arial"/>
                <w:lang w:val="en-US"/>
              </w:rPr>
            </w:pPr>
            <w:r w:rsidRPr="00F1147D">
              <w:rPr>
                <w:rFonts w:ascii="Times" w:eastAsia="Times New Roman" w:hAnsi="Times" w:cs="Times"/>
                <w:color w:val="001135"/>
                <w:position w:val="5"/>
              </w:rPr>
              <w:t>Dynamic DL reception vs. semi-statically configured UL transmission</w:t>
            </w:r>
            <w:r w:rsidRPr="00F1147D">
              <w:rPr>
                <w:rFonts w:ascii="Times" w:eastAsia="Times New Roman" w:hAnsi="Times" w:cs="Times"/>
                <w:lang w:val="en-US"/>
              </w:rPr>
              <w:t>​</w:t>
            </w:r>
          </w:p>
          <w:p w14:paraId="5ED5B084" w14:textId="77777777" w:rsidR="006564F4" w:rsidRPr="00F1147D" w:rsidRDefault="006564F4">
            <w:pPr>
              <w:numPr>
                <w:ilvl w:val="0"/>
                <w:numId w:val="39"/>
              </w:numPr>
              <w:overflowPunct/>
              <w:autoSpaceDE/>
              <w:autoSpaceDN/>
              <w:adjustRightInd/>
              <w:spacing w:after="0"/>
              <w:ind w:left="1584" w:firstLine="0"/>
              <w:jc w:val="both"/>
              <w:rPr>
                <w:rFonts w:ascii="Arial" w:eastAsia="Times New Roman" w:hAnsi="Arial" w:cs="Arial"/>
                <w:lang w:val="en-US"/>
              </w:rPr>
            </w:pPr>
            <w:r w:rsidRPr="00F1147D">
              <w:rPr>
                <w:rFonts w:ascii="Times" w:eastAsia="Times New Roman" w:hAnsi="Times" w:cs="Times"/>
                <w:color w:val="001135"/>
                <w:position w:val="5"/>
              </w:rPr>
              <w:t>Dynamic UL reception vs. semi-statically configured DL transmission</w:t>
            </w:r>
            <w:r w:rsidRPr="00F1147D">
              <w:rPr>
                <w:rFonts w:ascii="Times" w:eastAsia="Times New Roman" w:hAnsi="Times" w:cs="Times"/>
                <w:lang w:val="en-US"/>
              </w:rPr>
              <w:t>​</w:t>
            </w:r>
          </w:p>
          <w:p w14:paraId="46E1AE31" w14:textId="77777777" w:rsidR="006564F4" w:rsidRPr="00F1147D" w:rsidRDefault="006564F4">
            <w:pPr>
              <w:numPr>
                <w:ilvl w:val="0"/>
                <w:numId w:val="39"/>
              </w:numPr>
              <w:overflowPunct/>
              <w:autoSpaceDE/>
              <w:autoSpaceDN/>
              <w:adjustRightInd/>
              <w:spacing w:after="0"/>
              <w:ind w:left="1584" w:firstLine="0"/>
              <w:jc w:val="both"/>
              <w:rPr>
                <w:rFonts w:ascii="Arial" w:eastAsia="Times New Roman" w:hAnsi="Arial" w:cs="Arial"/>
                <w:lang w:val="en-US"/>
              </w:rPr>
            </w:pPr>
            <w:r w:rsidRPr="00F1147D">
              <w:rPr>
                <w:rFonts w:ascii="Times" w:eastAsia="Times New Roman" w:hAnsi="Times" w:cs="Times"/>
                <w:color w:val="001135"/>
                <w:position w:val="5"/>
              </w:rPr>
              <w:t>Semi-statically configured DL reception vs. semi-statically configured UL transmission</w:t>
            </w:r>
            <w:r w:rsidRPr="00F1147D">
              <w:rPr>
                <w:rFonts w:ascii="Times" w:eastAsia="Times New Roman" w:hAnsi="Times" w:cs="Times"/>
                <w:lang w:val="en-US"/>
              </w:rPr>
              <w:t>​</w:t>
            </w:r>
          </w:p>
          <w:p w14:paraId="5AE45967" w14:textId="77777777" w:rsidR="006564F4" w:rsidRPr="00F1147D" w:rsidRDefault="006564F4" w:rsidP="00E31DDF">
            <w:pPr>
              <w:overflowPunct/>
              <w:autoSpaceDE/>
              <w:autoSpaceDN/>
              <w:adjustRightInd/>
              <w:spacing w:after="0"/>
              <w:jc w:val="both"/>
              <w:rPr>
                <w:rFonts w:ascii="Segoe UI" w:eastAsia="Times New Roman" w:hAnsi="Segoe UI" w:cs="Segoe UI"/>
                <w:lang w:val="en-US"/>
              </w:rPr>
            </w:pPr>
            <w:r w:rsidRPr="00F1147D">
              <w:rPr>
                <w:rFonts w:eastAsia="Times New Roman"/>
                <w:color w:val="001135"/>
                <w:position w:val="5"/>
              </w:rPr>
              <w:t>Note: PRACH transmissions and SSB receptions are not included.</w:t>
            </w:r>
          </w:p>
          <w:p w14:paraId="0546A8D3" w14:textId="77777777" w:rsidR="006564F4" w:rsidRDefault="006564F4" w:rsidP="00E31DDF">
            <w:pPr>
              <w:contextualSpacing/>
              <w:jc w:val="both"/>
              <w:rPr>
                <w:lang w:val="en-US"/>
              </w:rPr>
            </w:pPr>
          </w:p>
        </w:tc>
      </w:tr>
    </w:tbl>
    <w:p w14:paraId="782592D4" w14:textId="77777777" w:rsidR="00D21CDE" w:rsidRPr="00D8302B" w:rsidRDefault="00D21CDE" w:rsidP="008B0A81">
      <w:pPr>
        <w:contextualSpacing/>
        <w:jc w:val="both"/>
        <w:rPr>
          <w:lang w:val="en-US"/>
        </w:rPr>
      </w:pPr>
    </w:p>
    <w:p w14:paraId="086AB58D" w14:textId="40DE3D1B" w:rsidR="003141D0" w:rsidRPr="00D8302B" w:rsidRDefault="007330B9" w:rsidP="008B0A81">
      <w:pPr>
        <w:contextualSpacing/>
        <w:jc w:val="both"/>
        <w:rPr>
          <w:lang w:val="en-US"/>
        </w:rPr>
      </w:pPr>
      <w:r w:rsidRPr="00D8302B">
        <w:rPr>
          <w:lang w:val="en-US"/>
        </w:rPr>
        <w:t>Based on current specifications, the</w:t>
      </w:r>
      <w:r w:rsidR="003141D0" w:rsidRPr="00D8302B">
        <w:rPr>
          <w:lang w:val="en-US"/>
        </w:rPr>
        <w:t xml:space="preserve"> gNB plays an essential role in ensuring that no conflicts resulting in error cases or unspecified UE </w:t>
      </w:r>
      <w:r w:rsidR="00511745" w:rsidRPr="00D8302B">
        <w:rPr>
          <w:lang w:val="en-US"/>
        </w:rPr>
        <w:t>behavior</w:t>
      </w:r>
      <w:r w:rsidR="003141D0" w:rsidRPr="00D8302B">
        <w:rPr>
          <w:lang w:val="en-US"/>
        </w:rPr>
        <w:t xml:space="preserve"> occur at the UE. Some of these error cases </w:t>
      </w:r>
      <w:r w:rsidR="00735D1E" w:rsidRPr="00D8302B">
        <w:rPr>
          <w:lang w:val="en-US"/>
        </w:rPr>
        <w:t xml:space="preserve">are </w:t>
      </w:r>
      <w:r w:rsidR="00511745">
        <w:rPr>
          <w:lang w:val="en-US"/>
        </w:rPr>
        <w:t>described</w:t>
      </w:r>
      <w:r w:rsidR="003141D0" w:rsidRPr="00D8302B">
        <w:rPr>
          <w:lang w:val="en-US"/>
        </w:rPr>
        <w:t xml:space="preserve"> below</w:t>
      </w:r>
      <w:r w:rsidR="00A521BE">
        <w:rPr>
          <w:lang w:val="en-US"/>
        </w:rPr>
        <w:t xml:space="preserve">, while remaining details </w:t>
      </w:r>
      <w:r w:rsidR="00FF175B" w:rsidRPr="00D8302B">
        <w:rPr>
          <w:lang w:val="en-US"/>
        </w:rPr>
        <w:t>can be found in TS 38.213 Clause 11.1 and 11.1.1</w:t>
      </w:r>
      <w:r w:rsidR="003141D0" w:rsidRPr="00D8302B">
        <w:rPr>
          <w:lang w:val="en-US"/>
        </w:rPr>
        <w:t xml:space="preserve">. Essentially, the gNB needs to ensure no contradicting indications are </w:t>
      </w:r>
      <w:r w:rsidR="003756C3" w:rsidRPr="00D8302B">
        <w:rPr>
          <w:lang w:val="en-US"/>
        </w:rPr>
        <w:t>signaled</w:t>
      </w:r>
      <w:r w:rsidR="003141D0" w:rsidRPr="00D8302B">
        <w:rPr>
          <w:lang w:val="en-US"/>
        </w:rPr>
        <w:t xml:space="preserve"> to the UE, </w:t>
      </w:r>
      <w:proofErr w:type="gramStart"/>
      <w:r w:rsidR="003141D0" w:rsidRPr="00D8302B">
        <w:rPr>
          <w:lang w:val="en-US"/>
        </w:rPr>
        <w:t>e.g.</w:t>
      </w:r>
      <w:proofErr w:type="gramEnd"/>
      <w:r w:rsidR="003141D0" w:rsidRPr="00D8302B">
        <w:rPr>
          <w:lang w:val="en-US"/>
        </w:rPr>
        <w:t xml:space="preserve"> DCI triggering a DL reception on resources configured in UL (by SFI/DCI, or RRC/SIB configuration). For semi-static signals (</w:t>
      </w:r>
      <w:proofErr w:type="gramStart"/>
      <w:r w:rsidR="003141D0" w:rsidRPr="00D8302B">
        <w:rPr>
          <w:lang w:val="en-US"/>
        </w:rPr>
        <w:t>e.g.</w:t>
      </w:r>
      <w:proofErr w:type="gramEnd"/>
      <w:r w:rsidR="003141D0" w:rsidRPr="00D8302B">
        <w:rPr>
          <w:lang w:val="en-US"/>
        </w:rPr>
        <w:t xml:space="preserve"> SRS, PUCCH, CSI-RS, etc.) some more flexibility is allowed as the gNB can ‘cancel’ the corresponding transmission/reception of those signals (with some cancellation timeline restrictions)</w:t>
      </w:r>
      <w:r w:rsidR="00D45E24" w:rsidRPr="00D8302B">
        <w:rPr>
          <w:lang w:val="en-US"/>
        </w:rPr>
        <w:t xml:space="preserve">. </w:t>
      </w:r>
    </w:p>
    <w:p w14:paraId="3BEAAA89" w14:textId="0BC3402A" w:rsidR="00D8302B" w:rsidRPr="00D8302B" w:rsidRDefault="00AE141E">
      <w:pPr>
        <w:pStyle w:val="ListParagraph"/>
        <w:numPr>
          <w:ilvl w:val="0"/>
          <w:numId w:val="28"/>
        </w:numPr>
        <w:shd w:val="clear" w:color="auto" w:fill="FFFFFF"/>
        <w:spacing w:after="180"/>
        <w:ind w:left="714" w:hanging="357"/>
        <w:jc w:val="both"/>
        <w:rPr>
          <w:sz w:val="20"/>
          <w:szCs w:val="20"/>
          <w:lang w:val="en-US"/>
        </w:rPr>
      </w:pPr>
      <w:r>
        <w:rPr>
          <w:sz w:val="20"/>
          <w:szCs w:val="20"/>
          <w:lang w:val="en-US"/>
        </w:rPr>
        <w:t xml:space="preserve">The </w:t>
      </w:r>
      <w:r w:rsidR="00D8302B" w:rsidRPr="00D8302B">
        <w:rPr>
          <w:sz w:val="20"/>
          <w:szCs w:val="20"/>
          <w:lang w:val="en-US"/>
        </w:rPr>
        <w:t xml:space="preserve">UE does not expect the gNB to request UL transmission on resources configured as DL by </w:t>
      </w:r>
      <w:proofErr w:type="gramStart"/>
      <w:r w:rsidR="00D8302B" w:rsidRPr="00D8302B">
        <w:rPr>
          <w:sz w:val="20"/>
          <w:szCs w:val="20"/>
          <w:lang w:val="en-US"/>
        </w:rPr>
        <w:t>higher-layer</w:t>
      </w:r>
      <w:proofErr w:type="gramEnd"/>
      <w:r w:rsidR="00D8302B" w:rsidRPr="00D8302B">
        <w:rPr>
          <w:sz w:val="20"/>
          <w:szCs w:val="20"/>
          <w:lang w:val="en-US"/>
        </w:rPr>
        <w:t xml:space="preserve"> signaling.</w:t>
      </w:r>
    </w:p>
    <w:p w14:paraId="349D0FFA" w14:textId="0A287B61" w:rsidR="00D8302B" w:rsidRPr="00D8302B" w:rsidRDefault="00AE141E">
      <w:pPr>
        <w:pStyle w:val="ListParagraph"/>
        <w:numPr>
          <w:ilvl w:val="0"/>
          <w:numId w:val="28"/>
        </w:numPr>
        <w:shd w:val="clear" w:color="auto" w:fill="FFFFFF"/>
        <w:spacing w:after="180"/>
        <w:jc w:val="both"/>
        <w:rPr>
          <w:sz w:val="20"/>
          <w:szCs w:val="20"/>
          <w:lang w:val="en-US"/>
        </w:rPr>
      </w:pPr>
      <w:r>
        <w:rPr>
          <w:sz w:val="20"/>
          <w:szCs w:val="20"/>
          <w:lang w:val="en-US"/>
        </w:rPr>
        <w:t xml:space="preserve">The </w:t>
      </w:r>
      <w:r w:rsidR="00D8302B" w:rsidRPr="00D8302B">
        <w:rPr>
          <w:sz w:val="20"/>
          <w:szCs w:val="20"/>
          <w:lang w:val="en-US"/>
        </w:rPr>
        <w:t xml:space="preserve">UE does not expect to receive a SFI indicating UL/DL direction for a symbol that is configured by </w:t>
      </w:r>
      <w:proofErr w:type="gramStart"/>
      <w:r w:rsidR="00D8302B" w:rsidRPr="00D8302B">
        <w:rPr>
          <w:sz w:val="20"/>
          <w:szCs w:val="20"/>
          <w:lang w:val="en-US"/>
        </w:rPr>
        <w:t>higher-layers</w:t>
      </w:r>
      <w:proofErr w:type="gramEnd"/>
      <w:r w:rsidR="00D8302B" w:rsidRPr="00D8302B">
        <w:rPr>
          <w:sz w:val="20"/>
          <w:szCs w:val="20"/>
          <w:lang w:val="en-US"/>
        </w:rPr>
        <w:t xml:space="preserve"> as DL/UL, respectively</w:t>
      </w:r>
    </w:p>
    <w:p w14:paraId="087ACB3B" w14:textId="307DEDBA" w:rsidR="00D8302B" w:rsidRPr="00D8302B"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 xml:space="preserve">For a set of symbols of a slot that are indicated to a UE as flexible by </w:t>
      </w:r>
      <w:proofErr w:type="gramStart"/>
      <w:r w:rsidR="003D4F3C" w:rsidRPr="00D8302B">
        <w:rPr>
          <w:sz w:val="20"/>
          <w:szCs w:val="20"/>
          <w:lang w:val="en-US"/>
        </w:rPr>
        <w:t>higher-layer</w:t>
      </w:r>
      <w:proofErr w:type="gramEnd"/>
      <w:r w:rsidR="003D4F3C" w:rsidRPr="00D8302B">
        <w:rPr>
          <w:sz w:val="20"/>
          <w:szCs w:val="20"/>
          <w:lang w:val="en-US"/>
        </w:rPr>
        <w:t xml:space="preserve"> signaling</w:t>
      </w:r>
      <w:r w:rsidRPr="00D8302B">
        <w:rPr>
          <w:sz w:val="20"/>
          <w:szCs w:val="20"/>
          <w:lang w:val="en-US"/>
        </w:rPr>
        <w:t>, the UE does not expect to receive both dedicated higher layer parameters configuring transmission from the UE in the set of symbols of the slot and dedicated higher layer parameters configuring reception by the UE in the set of symbols of the slot.</w:t>
      </w:r>
    </w:p>
    <w:p w14:paraId="6A8AB885" w14:textId="61D75B86" w:rsidR="00D8302B" w:rsidRPr="008812AD"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The UE does not expect to receive SFI</w:t>
      </w:r>
      <w:r w:rsidR="00C4371C">
        <w:rPr>
          <w:sz w:val="20"/>
          <w:szCs w:val="20"/>
          <w:lang w:val="en-US"/>
        </w:rPr>
        <w:t xml:space="preserve"> </w:t>
      </w:r>
      <w:r w:rsidRPr="00D8302B">
        <w:rPr>
          <w:sz w:val="20"/>
          <w:szCs w:val="20"/>
          <w:lang w:val="en-US"/>
        </w:rPr>
        <w:t xml:space="preserve">indicating a set of symbols as </w:t>
      </w:r>
      <w:proofErr w:type="gramStart"/>
      <w:r w:rsidRPr="00D8302B">
        <w:rPr>
          <w:sz w:val="20"/>
          <w:szCs w:val="20"/>
          <w:lang w:val="en-US"/>
        </w:rPr>
        <w:t>uplink, and</w:t>
      </w:r>
      <w:proofErr w:type="gramEnd"/>
      <w:r w:rsidRPr="00D8302B">
        <w:rPr>
          <w:sz w:val="20"/>
          <w:szCs w:val="20"/>
          <w:lang w:val="en-US"/>
        </w:rPr>
        <w:t xml:space="preserve"> receive another DCI indicating the UE to receive PDSCH/CSI-RS in the set of symbols. And vice</w:t>
      </w:r>
      <w:r w:rsidR="00C4371C">
        <w:rPr>
          <w:sz w:val="20"/>
          <w:szCs w:val="20"/>
          <w:lang w:val="en-US"/>
        </w:rPr>
        <w:t xml:space="preserve"> </w:t>
      </w:r>
      <w:r w:rsidRPr="00D8302B">
        <w:rPr>
          <w:sz w:val="20"/>
          <w:szCs w:val="20"/>
          <w:lang w:val="en-US"/>
        </w:rPr>
        <w:t>versa:</w:t>
      </w:r>
      <w:r w:rsidR="00A521BE">
        <w:rPr>
          <w:sz w:val="20"/>
          <w:szCs w:val="20"/>
          <w:lang w:val="en-US"/>
        </w:rPr>
        <w:t xml:space="preserve"> receive</w:t>
      </w:r>
      <w:r w:rsidRPr="00D8302B">
        <w:rPr>
          <w:sz w:val="20"/>
          <w:szCs w:val="20"/>
          <w:lang w:val="en-US"/>
        </w:rPr>
        <w:t xml:space="preserve"> SFI indicating DL symbols and other DCI indicating UL transmission.</w:t>
      </w:r>
    </w:p>
    <w:p w14:paraId="66D5BA61" w14:textId="77777777" w:rsidR="00D8302B" w:rsidRPr="0011014A"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 xml:space="preserve">If a UE </w:t>
      </w:r>
      <w:r w:rsidRPr="0011014A">
        <w:rPr>
          <w:sz w:val="20"/>
          <w:szCs w:val="20"/>
          <w:lang w:val="en-US"/>
        </w:rPr>
        <w:t>is configured by higher layers to transmit SRS, or PUCCH, or PUSCH, or PRACH in a set of symbols of a slot and the UE detects a DCI format indicating to the UE to receive CSI-RS or PDSCH in a subset of symbols from the set of symbols</w:t>
      </w:r>
    </w:p>
    <w:p w14:paraId="305C02F1" w14:textId="77777777" w:rsidR="00D8302B" w:rsidRPr="00D8302B" w:rsidRDefault="00D8302B">
      <w:pPr>
        <w:pStyle w:val="ListParagraph"/>
        <w:numPr>
          <w:ilvl w:val="1"/>
          <w:numId w:val="28"/>
        </w:numPr>
        <w:shd w:val="clear" w:color="auto" w:fill="FFFFFF"/>
        <w:spacing w:after="180"/>
        <w:jc w:val="both"/>
        <w:rPr>
          <w:sz w:val="20"/>
          <w:szCs w:val="20"/>
          <w:lang w:val="en-US"/>
        </w:rPr>
      </w:pPr>
      <w:r w:rsidRPr="00D8302B">
        <w:rPr>
          <w:sz w:val="20"/>
          <w:szCs w:val="20"/>
          <w:lang w:val="en-US"/>
        </w:rPr>
        <w:t xml:space="preserve">The UE cancels the SRS, PUCCH, PUSCH or PRACH in the set of symbols but only if some cancellation timeline is met. </w:t>
      </w:r>
    </w:p>
    <w:p w14:paraId="54E99A03" w14:textId="77777777" w:rsidR="00D8302B" w:rsidRPr="00D8302B"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 xml:space="preserve">If a UE is configured by higher layers to receive a CSI-RS or a PDSCH in a set of symbols of a slot and the UE detects a DCI format 2_0 with a slot format value other than 255 that indicates a slot format with a subset of symbols from the set of symbols as uplink or flexible, or the UE detects a DCI format indicating to the UE to transmit PUSCH, PUCCH, SRS, or PRACH in at least one symbol in the set of the symbols, </w:t>
      </w:r>
    </w:p>
    <w:p w14:paraId="20C6435A" w14:textId="77777777" w:rsidR="00D8302B" w:rsidRPr="00D8302B" w:rsidRDefault="00D8302B">
      <w:pPr>
        <w:pStyle w:val="ListParagraph"/>
        <w:numPr>
          <w:ilvl w:val="1"/>
          <w:numId w:val="28"/>
        </w:numPr>
        <w:shd w:val="clear" w:color="auto" w:fill="FFFFFF"/>
        <w:spacing w:after="180"/>
        <w:jc w:val="both"/>
        <w:rPr>
          <w:sz w:val="20"/>
          <w:szCs w:val="20"/>
          <w:lang w:val="en-US"/>
        </w:rPr>
      </w:pPr>
      <w:r w:rsidRPr="00D8302B">
        <w:rPr>
          <w:sz w:val="20"/>
          <w:szCs w:val="20"/>
          <w:lang w:val="en-US"/>
        </w:rPr>
        <w:t>the UE cancels the CSI-RS reception in the set of symbols of the slot or cancels the PDSCH reception in the slot.</w:t>
      </w:r>
    </w:p>
    <w:p w14:paraId="71129A80" w14:textId="77777777" w:rsidR="00D8302B" w:rsidRPr="00D8302B"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 xml:space="preserve">For a set of symbols of a slot indicated to a UE by </w:t>
      </w:r>
      <w:r w:rsidRPr="007A6654">
        <w:rPr>
          <w:i/>
          <w:iCs/>
          <w:sz w:val="20"/>
          <w:szCs w:val="20"/>
          <w:lang w:val="en-US"/>
        </w:rPr>
        <w:t>pdcch-ConfigSIB1</w:t>
      </w:r>
      <w:r w:rsidRPr="00D8302B">
        <w:rPr>
          <w:sz w:val="20"/>
          <w:szCs w:val="20"/>
          <w:lang w:val="en-US"/>
        </w:rPr>
        <w:t xml:space="preserve"> in MIB for a CORESET for Type0-PDCCH CSS set, the UE does not expect the set of symbols to be indicated as uplink by </w:t>
      </w:r>
      <w:proofErr w:type="spellStart"/>
      <w:r w:rsidRPr="00E21AD3">
        <w:rPr>
          <w:i/>
          <w:iCs/>
          <w:sz w:val="20"/>
          <w:szCs w:val="20"/>
          <w:lang w:val="en-US"/>
        </w:rPr>
        <w:t>tdd</w:t>
      </w:r>
      <w:proofErr w:type="spellEnd"/>
      <w:r w:rsidRPr="00E21AD3">
        <w:rPr>
          <w:i/>
          <w:iCs/>
          <w:sz w:val="20"/>
          <w:szCs w:val="20"/>
          <w:lang w:val="en-US"/>
        </w:rPr>
        <w:t>-UL-DL-</w:t>
      </w:r>
      <w:proofErr w:type="spellStart"/>
      <w:r w:rsidRPr="00E21AD3">
        <w:rPr>
          <w:i/>
          <w:iCs/>
          <w:sz w:val="20"/>
          <w:szCs w:val="20"/>
          <w:lang w:val="en-US"/>
        </w:rPr>
        <w:t>ConfigurationCommon</w:t>
      </w:r>
      <w:proofErr w:type="spellEnd"/>
      <w:r w:rsidRPr="00D8302B">
        <w:rPr>
          <w:sz w:val="20"/>
          <w:szCs w:val="20"/>
          <w:lang w:val="en-US"/>
        </w:rPr>
        <w:t xml:space="preserve">, or </w:t>
      </w:r>
      <w:proofErr w:type="spellStart"/>
      <w:r w:rsidRPr="00E21AD3">
        <w:rPr>
          <w:i/>
          <w:iCs/>
          <w:sz w:val="20"/>
          <w:szCs w:val="20"/>
          <w:lang w:val="en-US"/>
        </w:rPr>
        <w:t>tdd</w:t>
      </w:r>
      <w:proofErr w:type="spellEnd"/>
      <w:r w:rsidRPr="00E21AD3">
        <w:rPr>
          <w:i/>
          <w:iCs/>
          <w:sz w:val="20"/>
          <w:szCs w:val="20"/>
          <w:lang w:val="en-US"/>
        </w:rPr>
        <w:t>-UL-DL-</w:t>
      </w:r>
      <w:proofErr w:type="spellStart"/>
      <w:r w:rsidRPr="00E21AD3">
        <w:rPr>
          <w:i/>
          <w:iCs/>
          <w:sz w:val="20"/>
          <w:szCs w:val="20"/>
          <w:lang w:val="en-US"/>
        </w:rPr>
        <w:t>ConfigurationDedicated</w:t>
      </w:r>
      <w:proofErr w:type="spellEnd"/>
      <w:r w:rsidRPr="00D8302B">
        <w:rPr>
          <w:sz w:val="20"/>
          <w:szCs w:val="20"/>
          <w:lang w:val="en-US"/>
        </w:rPr>
        <w:t>.</w:t>
      </w:r>
    </w:p>
    <w:p w14:paraId="71BE134A" w14:textId="77777777" w:rsidR="00D8302B" w:rsidRDefault="00D8302B">
      <w:pPr>
        <w:pStyle w:val="ListParagraph"/>
        <w:numPr>
          <w:ilvl w:val="0"/>
          <w:numId w:val="28"/>
        </w:numPr>
        <w:shd w:val="clear" w:color="auto" w:fill="FFFFFF"/>
        <w:spacing w:after="180"/>
        <w:jc w:val="both"/>
        <w:rPr>
          <w:sz w:val="20"/>
          <w:szCs w:val="20"/>
          <w:lang w:val="en-US"/>
        </w:rPr>
      </w:pPr>
      <w:r w:rsidRPr="00D8302B">
        <w:rPr>
          <w:sz w:val="20"/>
          <w:szCs w:val="20"/>
          <w:lang w:val="en-US"/>
        </w:rPr>
        <w:t xml:space="preserve">For a set of symbols of a slot indicated to a UE by </w:t>
      </w:r>
      <w:r w:rsidRPr="007A6654">
        <w:rPr>
          <w:i/>
          <w:iCs/>
          <w:sz w:val="20"/>
          <w:szCs w:val="20"/>
          <w:lang w:val="en-US"/>
        </w:rPr>
        <w:t>pdcch-ConfigSIB1</w:t>
      </w:r>
      <w:r w:rsidRPr="00D8302B">
        <w:rPr>
          <w:sz w:val="20"/>
          <w:szCs w:val="20"/>
          <w:lang w:val="en-US"/>
        </w:rPr>
        <w:t xml:space="preserve"> in MIB for a CORESET for Type0-PDCCH CSS set, the UE does not expect to detect a DCI format 2_0 with an SFI-index field value indicating the set of symbols of the slot as uplink.</w:t>
      </w:r>
    </w:p>
    <w:p w14:paraId="15E299D4" w14:textId="65CE5948" w:rsidR="005134C8" w:rsidRPr="00AE141E" w:rsidRDefault="005134C8" w:rsidP="00AE141E">
      <w:pPr>
        <w:pStyle w:val="Caption"/>
        <w:keepNext/>
        <w:jc w:val="center"/>
        <w:rPr>
          <w:b w:val="0"/>
          <w:bCs/>
          <w:i/>
          <w:lang w:val="en-US"/>
        </w:rPr>
      </w:pPr>
      <w:bookmarkStart w:id="1257" w:name="_Ref118281120"/>
      <w:r w:rsidRPr="005134C8">
        <w:rPr>
          <w:b w:val="0"/>
          <w:bCs/>
          <w:i/>
          <w:lang w:val="en-US"/>
        </w:rPr>
        <w:t xml:space="preserve">Table </w:t>
      </w:r>
      <w:r w:rsidRPr="005134C8">
        <w:rPr>
          <w:b w:val="0"/>
          <w:bCs/>
          <w:i/>
          <w:lang w:val="en-US"/>
        </w:rPr>
        <w:fldChar w:fldCharType="begin"/>
      </w:r>
      <w:r w:rsidRPr="005134C8">
        <w:rPr>
          <w:b w:val="0"/>
          <w:bCs/>
          <w:i/>
          <w:lang w:val="en-US"/>
        </w:rPr>
        <w:instrText xml:space="preserve"> SEQ Table \* ARABIC </w:instrText>
      </w:r>
      <w:r w:rsidRPr="005134C8">
        <w:rPr>
          <w:b w:val="0"/>
          <w:bCs/>
          <w:i/>
          <w:lang w:val="en-US"/>
        </w:rPr>
        <w:fldChar w:fldCharType="separate"/>
      </w:r>
      <w:r w:rsidR="00C15552">
        <w:rPr>
          <w:b w:val="0"/>
          <w:bCs/>
          <w:i/>
          <w:noProof/>
          <w:lang w:val="en-US"/>
        </w:rPr>
        <w:t>2</w:t>
      </w:r>
      <w:r w:rsidRPr="005134C8">
        <w:rPr>
          <w:b w:val="0"/>
          <w:bCs/>
          <w:i/>
          <w:lang w:val="en-US"/>
        </w:rPr>
        <w:fldChar w:fldCharType="end"/>
      </w:r>
      <w:bookmarkEnd w:id="1257"/>
      <w:r w:rsidR="008B0A81">
        <w:rPr>
          <w:b w:val="0"/>
          <w:bCs/>
          <w:i/>
          <w:lang w:val="en-US"/>
        </w:rPr>
        <w:t xml:space="preserve"> </w:t>
      </w:r>
      <w:r w:rsidR="00DC405B">
        <w:rPr>
          <w:b w:val="0"/>
          <w:bCs/>
          <w:i/>
          <w:lang w:val="en-US"/>
        </w:rPr>
        <w:t xml:space="preserve">UE behavior </w:t>
      </w:r>
      <w:r w:rsidR="00102861">
        <w:rPr>
          <w:b w:val="0"/>
          <w:bCs/>
          <w:i/>
          <w:lang w:val="en-US"/>
        </w:rPr>
        <w:t xml:space="preserve">in case of </w:t>
      </w:r>
      <w:r w:rsidR="00B60BD9">
        <w:rPr>
          <w:b w:val="0"/>
          <w:bCs/>
          <w:i/>
          <w:lang w:val="en-US"/>
        </w:rPr>
        <w:t xml:space="preserve">UL/DL </w:t>
      </w:r>
      <w:r w:rsidR="00102861">
        <w:rPr>
          <w:b w:val="0"/>
          <w:bCs/>
          <w:i/>
          <w:lang w:val="en-US"/>
        </w:rPr>
        <w:t>collision according to current specifications</w:t>
      </w:r>
      <w:r w:rsidRPr="0060475C">
        <w:rPr>
          <w:b w:val="0"/>
          <w:bCs/>
          <w:i/>
          <w:lang w:val="en-US"/>
        </w:rPr>
        <w:t xml:space="preserve"> </w:t>
      </w:r>
    </w:p>
    <w:tbl>
      <w:tblPr>
        <w:tblStyle w:val="TableGrid"/>
        <w:tblpPr w:leftFromText="141" w:rightFromText="141" w:vertAnchor="text" w:horzAnchor="margin" w:tblpXSpec="center" w:tblpY="-10"/>
        <w:tblW w:w="0" w:type="auto"/>
        <w:tblLook w:val="04A0" w:firstRow="1" w:lastRow="0" w:firstColumn="1" w:lastColumn="0" w:noHBand="0" w:noVBand="1"/>
      </w:tblPr>
      <w:tblGrid>
        <w:gridCol w:w="1413"/>
        <w:gridCol w:w="1173"/>
        <w:gridCol w:w="1174"/>
        <w:gridCol w:w="1174"/>
        <w:gridCol w:w="1173"/>
        <w:gridCol w:w="1174"/>
        <w:gridCol w:w="1174"/>
        <w:gridCol w:w="1174"/>
      </w:tblGrid>
      <w:tr w:rsidR="00517522" w:rsidRPr="00F525BE" w14:paraId="46729B41" w14:textId="5045139A" w:rsidTr="00AE141E">
        <w:tc>
          <w:tcPr>
            <w:tcW w:w="1413" w:type="dxa"/>
          </w:tcPr>
          <w:p w14:paraId="16967E8C" w14:textId="77777777" w:rsidR="00F709A4" w:rsidRPr="00F525BE" w:rsidRDefault="00F709A4" w:rsidP="008B0A81">
            <w:pPr>
              <w:rPr>
                <w:sz w:val="16"/>
                <w:szCs w:val="16"/>
                <w:lang w:val="en-US"/>
              </w:rPr>
            </w:pPr>
          </w:p>
        </w:tc>
        <w:tc>
          <w:tcPr>
            <w:tcW w:w="1173" w:type="dxa"/>
          </w:tcPr>
          <w:p w14:paraId="26818DF6" w14:textId="77777777" w:rsidR="00F709A4" w:rsidRPr="00F525BE" w:rsidRDefault="00F709A4" w:rsidP="008B0A81">
            <w:pPr>
              <w:rPr>
                <w:b/>
                <w:bCs/>
                <w:sz w:val="16"/>
                <w:szCs w:val="16"/>
                <w:lang w:val="en-US"/>
              </w:rPr>
            </w:pPr>
            <w:r w:rsidRPr="00F525BE">
              <w:rPr>
                <w:b/>
                <w:bCs/>
                <w:sz w:val="16"/>
                <w:szCs w:val="16"/>
                <w:lang w:val="en-US"/>
              </w:rPr>
              <w:t>Dyn. DL</w:t>
            </w:r>
          </w:p>
        </w:tc>
        <w:tc>
          <w:tcPr>
            <w:tcW w:w="1174" w:type="dxa"/>
          </w:tcPr>
          <w:p w14:paraId="532FECAF" w14:textId="77777777" w:rsidR="00F709A4" w:rsidRPr="00F525BE" w:rsidRDefault="00F709A4" w:rsidP="008B0A81">
            <w:pPr>
              <w:rPr>
                <w:b/>
                <w:bCs/>
                <w:sz w:val="16"/>
                <w:szCs w:val="16"/>
                <w:lang w:val="en-US"/>
              </w:rPr>
            </w:pPr>
            <w:r w:rsidRPr="00F525BE">
              <w:rPr>
                <w:b/>
                <w:bCs/>
                <w:sz w:val="16"/>
                <w:szCs w:val="16"/>
                <w:lang w:val="en-US"/>
              </w:rPr>
              <w:t>Dyn. UL</w:t>
            </w:r>
          </w:p>
        </w:tc>
        <w:tc>
          <w:tcPr>
            <w:tcW w:w="1174" w:type="dxa"/>
          </w:tcPr>
          <w:p w14:paraId="7097D900" w14:textId="77777777" w:rsidR="00F709A4" w:rsidRPr="00F525BE" w:rsidRDefault="00F709A4" w:rsidP="008B0A81">
            <w:pPr>
              <w:rPr>
                <w:b/>
                <w:bCs/>
                <w:sz w:val="16"/>
                <w:szCs w:val="16"/>
                <w:lang w:val="en-US"/>
              </w:rPr>
            </w:pPr>
            <w:r w:rsidRPr="00F525BE">
              <w:rPr>
                <w:b/>
                <w:bCs/>
                <w:sz w:val="16"/>
                <w:szCs w:val="16"/>
                <w:lang w:val="en-US"/>
              </w:rPr>
              <w:t>Semi-static DL</w:t>
            </w:r>
          </w:p>
        </w:tc>
        <w:tc>
          <w:tcPr>
            <w:tcW w:w="1173" w:type="dxa"/>
          </w:tcPr>
          <w:p w14:paraId="0C6CD6A1" w14:textId="77777777" w:rsidR="00F709A4" w:rsidRPr="00F525BE" w:rsidRDefault="00F709A4" w:rsidP="008B0A81">
            <w:pPr>
              <w:rPr>
                <w:b/>
                <w:bCs/>
                <w:sz w:val="16"/>
                <w:szCs w:val="16"/>
                <w:lang w:val="en-US"/>
              </w:rPr>
            </w:pPr>
            <w:r w:rsidRPr="00F525BE">
              <w:rPr>
                <w:b/>
                <w:bCs/>
                <w:sz w:val="16"/>
                <w:szCs w:val="16"/>
                <w:lang w:val="en-US"/>
              </w:rPr>
              <w:t>Semi-static UL</w:t>
            </w:r>
          </w:p>
        </w:tc>
        <w:tc>
          <w:tcPr>
            <w:tcW w:w="1174" w:type="dxa"/>
          </w:tcPr>
          <w:p w14:paraId="3D54D0E7" w14:textId="43C7DA54" w:rsidR="00F709A4" w:rsidRPr="00F525BE" w:rsidRDefault="00F709A4" w:rsidP="008B0A81">
            <w:pPr>
              <w:rPr>
                <w:b/>
                <w:bCs/>
                <w:sz w:val="16"/>
                <w:szCs w:val="16"/>
                <w:lang w:val="en-US"/>
              </w:rPr>
            </w:pPr>
            <w:r w:rsidRPr="00F525BE">
              <w:rPr>
                <w:b/>
                <w:bCs/>
                <w:sz w:val="16"/>
                <w:szCs w:val="16"/>
                <w:lang w:val="en-US"/>
              </w:rPr>
              <w:t>SSB</w:t>
            </w:r>
          </w:p>
        </w:tc>
        <w:tc>
          <w:tcPr>
            <w:tcW w:w="1174" w:type="dxa"/>
          </w:tcPr>
          <w:p w14:paraId="086D806F" w14:textId="7C3DA9E1" w:rsidR="00F709A4" w:rsidRPr="00F525BE" w:rsidRDefault="00206868" w:rsidP="008B0A81">
            <w:pPr>
              <w:rPr>
                <w:b/>
                <w:bCs/>
                <w:sz w:val="16"/>
                <w:szCs w:val="16"/>
                <w:lang w:val="en-US"/>
              </w:rPr>
            </w:pPr>
            <w:r w:rsidRPr="00F525BE">
              <w:rPr>
                <w:rFonts w:eastAsiaTheme="minorEastAsia"/>
                <w:b/>
                <w:bCs/>
                <w:sz w:val="16"/>
                <w:szCs w:val="16"/>
                <w:lang w:val="en-US"/>
              </w:rPr>
              <w:t>Type 0 CSS</w:t>
            </w:r>
          </w:p>
        </w:tc>
        <w:tc>
          <w:tcPr>
            <w:tcW w:w="1174" w:type="dxa"/>
          </w:tcPr>
          <w:p w14:paraId="050DDA68" w14:textId="699E1560" w:rsidR="00F709A4" w:rsidRPr="00F525BE" w:rsidRDefault="00F709A4" w:rsidP="008B0A81">
            <w:pPr>
              <w:rPr>
                <w:b/>
                <w:bCs/>
                <w:sz w:val="16"/>
                <w:szCs w:val="16"/>
                <w:lang w:val="en-US"/>
              </w:rPr>
            </w:pPr>
            <w:r w:rsidRPr="00F525BE">
              <w:rPr>
                <w:b/>
                <w:bCs/>
                <w:sz w:val="16"/>
                <w:szCs w:val="16"/>
                <w:lang w:val="en-US"/>
              </w:rPr>
              <w:t>Valid RO</w:t>
            </w:r>
          </w:p>
        </w:tc>
      </w:tr>
      <w:tr w:rsidR="00517522" w:rsidRPr="00F525BE" w14:paraId="6AFC0C84" w14:textId="02B5EABD" w:rsidTr="00AE141E">
        <w:tc>
          <w:tcPr>
            <w:tcW w:w="1413" w:type="dxa"/>
          </w:tcPr>
          <w:p w14:paraId="35BAF25E" w14:textId="77777777" w:rsidR="00F709A4" w:rsidRPr="00F525BE" w:rsidRDefault="00F709A4" w:rsidP="008B0A81">
            <w:pPr>
              <w:rPr>
                <w:b/>
                <w:bCs/>
                <w:sz w:val="16"/>
                <w:szCs w:val="16"/>
                <w:lang w:val="en-US"/>
              </w:rPr>
            </w:pPr>
            <w:r w:rsidRPr="00F525BE">
              <w:rPr>
                <w:b/>
                <w:bCs/>
                <w:sz w:val="16"/>
                <w:szCs w:val="16"/>
                <w:lang w:val="en-US"/>
              </w:rPr>
              <w:t>Dyn. DL</w:t>
            </w:r>
          </w:p>
        </w:tc>
        <w:tc>
          <w:tcPr>
            <w:tcW w:w="1173" w:type="dxa"/>
            <w:shd w:val="clear" w:color="auto" w:fill="BFBFBF" w:themeFill="background1" w:themeFillShade="BF"/>
          </w:tcPr>
          <w:p w14:paraId="5FF0CD3F" w14:textId="09524D4E" w:rsidR="00F709A4" w:rsidRPr="00F525BE" w:rsidRDefault="00F709A4" w:rsidP="008B0A81">
            <w:pPr>
              <w:rPr>
                <w:sz w:val="16"/>
                <w:szCs w:val="16"/>
                <w:lang w:val="en-US"/>
              </w:rPr>
            </w:pPr>
          </w:p>
        </w:tc>
        <w:tc>
          <w:tcPr>
            <w:tcW w:w="1174" w:type="dxa"/>
            <w:shd w:val="clear" w:color="auto" w:fill="BFBFBF" w:themeFill="background1" w:themeFillShade="BF"/>
          </w:tcPr>
          <w:p w14:paraId="33FEE692" w14:textId="6CED619C" w:rsidR="00F709A4" w:rsidRPr="00F525BE" w:rsidRDefault="00F709A4" w:rsidP="008B0A81">
            <w:pPr>
              <w:rPr>
                <w:color w:val="44546A" w:themeColor="text2"/>
                <w:sz w:val="16"/>
                <w:szCs w:val="16"/>
                <w:lang w:val="en-US"/>
              </w:rPr>
            </w:pPr>
          </w:p>
        </w:tc>
        <w:tc>
          <w:tcPr>
            <w:tcW w:w="1174" w:type="dxa"/>
            <w:shd w:val="clear" w:color="auto" w:fill="BFBFBF" w:themeFill="background1" w:themeFillShade="BF"/>
          </w:tcPr>
          <w:p w14:paraId="54E02C1B" w14:textId="436AA29E" w:rsidR="00F709A4" w:rsidRPr="00F525BE" w:rsidRDefault="00F709A4" w:rsidP="008B0A81">
            <w:pPr>
              <w:rPr>
                <w:color w:val="44546A" w:themeColor="text2"/>
                <w:sz w:val="16"/>
                <w:szCs w:val="16"/>
                <w:lang w:val="en-US"/>
              </w:rPr>
            </w:pPr>
          </w:p>
        </w:tc>
        <w:tc>
          <w:tcPr>
            <w:tcW w:w="1173" w:type="dxa"/>
            <w:shd w:val="clear" w:color="auto" w:fill="BFBFBF" w:themeFill="background1" w:themeFillShade="BF"/>
          </w:tcPr>
          <w:p w14:paraId="3708E312" w14:textId="3CA93BDF" w:rsidR="00F709A4" w:rsidRPr="00F525BE" w:rsidRDefault="00F709A4" w:rsidP="008B0A81">
            <w:pPr>
              <w:rPr>
                <w:color w:val="44546A" w:themeColor="text2"/>
                <w:sz w:val="16"/>
                <w:szCs w:val="16"/>
                <w:lang w:val="en-US"/>
              </w:rPr>
            </w:pPr>
          </w:p>
        </w:tc>
        <w:tc>
          <w:tcPr>
            <w:tcW w:w="1174" w:type="dxa"/>
            <w:shd w:val="clear" w:color="auto" w:fill="BFBFBF" w:themeFill="background1" w:themeFillShade="BF"/>
          </w:tcPr>
          <w:p w14:paraId="720BD316" w14:textId="77777777" w:rsidR="00F709A4" w:rsidRPr="00F525BE" w:rsidRDefault="00F709A4" w:rsidP="008B0A81">
            <w:pPr>
              <w:rPr>
                <w:color w:val="44546A" w:themeColor="text2"/>
                <w:sz w:val="16"/>
                <w:szCs w:val="16"/>
                <w:lang w:val="en-US"/>
              </w:rPr>
            </w:pPr>
          </w:p>
        </w:tc>
        <w:tc>
          <w:tcPr>
            <w:tcW w:w="1174" w:type="dxa"/>
            <w:shd w:val="clear" w:color="auto" w:fill="BFBFBF" w:themeFill="background1" w:themeFillShade="BF"/>
          </w:tcPr>
          <w:p w14:paraId="2111899A" w14:textId="77777777" w:rsidR="00F709A4" w:rsidRPr="00F525BE" w:rsidRDefault="00F709A4" w:rsidP="008B0A81">
            <w:pPr>
              <w:rPr>
                <w:color w:val="44546A" w:themeColor="text2"/>
                <w:sz w:val="16"/>
                <w:szCs w:val="16"/>
                <w:lang w:val="en-US"/>
              </w:rPr>
            </w:pPr>
          </w:p>
        </w:tc>
        <w:tc>
          <w:tcPr>
            <w:tcW w:w="1174" w:type="dxa"/>
            <w:shd w:val="clear" w:color="auto" w:fill="BFBFBF" w:themeFill="background1" w:themeFillShade="BF"/>
          </w:tcPr>
          <w:p w14:paraId="17FAFE79" w14:textId="77777777" w:rsidR="00F709A4" w:rsidRPr="00F525BE" w:rsidRDefault="00F709A4" w:rsidP="008B0A81">
            <w:pPr>
              <w:rPr>
                <w:color w:val="44546A" w:themeColor="text2"/>
                <w:lang w:val="en-US"/>
              </w:rPr>
            </w:pPr>
          </w:p>
        </w:tc>
      </w:tr>
      <w:tr w:rsidR="00517522" w:rsidRPr="00F525BE" w14:paraId="1676BF91" w14:textId="379A580C" w:rsidTr="00AE141E">
        <w:tc>
          <w:tcPr>
            <w:tcW w:w="1413" w:type="dxa"/>
          </w:tcPr>
          <w:p w14:paraId="62792221" w14:textId="77777777" w:rsidR="00F709A4" w:rsidRPr="00F525BE" w:rsidRDefault="00F709A4" w:rsidP="008B0A81">
            <w:pPr>
              <w:rPr>
                <w:b/>
                <w:bCs/>
                <w:sz w:val="16"/>
                <w:szCs w:val="16"/>
                <w:lang w:val="en-US"/>
              </w:rPr>
            </w:pPr>
            <w:r w:rsidRPr="00F525BE">
              <w:rPr>
                <w:b/>
                <w:bCs/>
                <w:sz w:val="16"/>
                <w:szCs w:val="16"/>
                <w:lang w:val="en-US"/>
              </w:rPr>
              <w:t>Dyn. UL</w:t>
            </w:r>
          </w:p>
        </w:tc>
        <w:tc>
          <w:tcPr>
            <w:tcW w:w="1173" w:type="dxa"/>
          </w:tcPr>
          <w:p w14:paraId="5C1F47B2" w14:textId="4647F3E4" w:rsidR="00F709A4" w:rsidRPr="00F33983" w:rsidRDefault="00F709A4" w:rsidP="008B0A81">
            <w:pPr>
              <w:rPr>
                <w:sz w:val="16"/>
                <w:szCs w:val="16"/>
                <w:lang w:val="en-US"/>
              </w:rPr>
            </w:pPr>
            <w:r w:rsidRPr="00F33983">
              <w:rPr>
                <w:sz w:val="16"/>
                <w:szCs w:val="16"/>
                <w:lang w:val="en-US"/>
              </w:rPr>
              <w:t>Not expected</w:t>
            </w:r>
          </w:p>
        </w:tc>
        <w:tc>
          <w:tcPr>
            <w:tcW w:w="1174" w:type="dxa"/>
            <w:shd w:val="clear" w:color="auto" w:fill="BFBFBF" w:themeFill="background1" w:themeFillShade="BF"/>
          </w:tcPr>
          <w:p w14:paraId="370E4D3C" w14:textId="7A5CF095" w:rsidR="00F709A4" w:rsidRPr="00F33983" w:rsidRDefault="00F709A4" w:rsidP="008B0A81">
            <w:pPr>
              <w:rPr>
                <w:sz w:val="16"/>
                <w:szCs w:val="16"/>
                <w:lang w:val="en-US"/>
              </w:rPr>
            </w:pPr>
          </w:p>
        </w:tc>
        <w:tc>
          <w:tcPr>
            <w:tcW w:w="1174" w:type="dxa"/>
            <w:shd w:val="clear" w:color="auto" w:fill="BFBFBF" w:themeFill="background1" w:themeFillShade="BF"/>
          </w:tcPr>
          <w:p w14:paraId="3AB5BAE8" w14:textId="17823CA3" w:rsidR="00F709A4" w:rsidRPr="00F33983" w:rsidRDefault="00F709A4" w:rsidP="008B0A81">
            <w:pPr>
              <w:rPr>
                <w:sz w:val="16"/>
                <w:szCs w:val="16"/>
                <w:lang w:val="en-US"/>
              </w:rPr>
            </w:pPr>
          </w:p>
        </w:tc>
        <w:tc>
          <w:tcPr>
            <w:tcW w:w="1173" w:type="dxa"/>
            <w:shd w:val="clear" w:color="auto" w:fill="BFBFBF" w:themeFill="background1" w:themeFillShade="BF"/>
          </w:tcPr>
          <w:p w14:paraId="68D03464" w14:textId="356C5193" w:rsidR="00F709A4" w:rsidRPr="00F33983" w:rsidRDefault="00F709A4" w:rsidP="008B0A81">
            <w:pPr>
              <w:rPr>
                <w:sz w:val="16"/>
                <w:szCs w:val="16"/>
                <w:lang w:val="en-US"/>
              </w:rPr>
            </w:pPr>
          </w:p>
        </w:tc>
        <w:tc>
          <w:tcPr>
            <w:tcW w:w="1174" w:type="dxa"/>
            <w:shd w:val="clear" w:color="auto" w:fill="BFBFBF" w:themeFill="background1" w:themeFillShade="BF"/>
          </w:tcPr>
          <w:p w14:paraId="1D636584"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0757A2AC"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37309C5D" w14:textId="77777777" w:rsidR="00F709A4" w:rsidRPr="00F525BE" w:rsidRDefault="00F709A4" w:rsidP="008B0A81">
            <w:pPr>
              <w:rPr>
                <w:lang w:val="en-US"/>
              </w:rPr>
            </w:pPr>
          </w:p>
        </w:tc>
      </w:tr>
      <w:tr w:rsidR="00517522" w:rsidRPr="00F525BE" w14:paraId="6EDE1182" w14:textId="5416B293" w:rsidTr="00AE141E">
        <w:tc>
          <w:tcPr>
            <w:tcW w:w="1413" w:type="dxa"/>
          </w:tcPr>
          <w:p w14:paraId="649FCBFB" w14:textId="18448405" w:rsidR="00F709A4" w:rsidRPr="00F525BE" w:rsidRDefault="00F709A4" w:rsidP="008B0A81">
            <w:pPr>
              <w:rPr>
                <w:b/>
                <w:bCs/>
                <w:sz w:val="16"/>
                <w:szCs w:val="16"/>
                <w:lang w:val="en-US"/>
              </w:rPr>
            </w:pPr>
            <w:r w:rsidRPr="00F525BE">
              <w:rPr>
                <w:b/>
                <w:bCs/>
                <w:sz w:val="16"/>
                <w:szCs w:val="16"/>
                <w:lang w:val="en-US"/>
              </w:rPr>
              <w:t>Semi-static DL</w:t>
            </w:r>
          </w:p>
        </w:tc>
        <w:tc>
          <w:tcPr>
            <w:tcW w:w="1173" w:type="dxa"/>
          </w:tcPr>
          <w:p w14:paraId="61613FC3" w14:textId="02CD8369" w:rsidR="00F709A4" w:rsidRPr="00F33983" w:rsidRDefault="00AB5530" w:rsidP="008B0A81">
            <w:pPr>
              <w:rPr>
                <w:sz w:val="16"/>
                <w:szCs w:val="16"/>
                <w:lang w:val="en-US"/>
              </w:rPr>
            </w:pPr>
            <w:r w:rsidRPr="00F33983">
              <w:rPr>
                <w:sz w:val="16"/>
                <w:szCs w:val="16"/>
                <w:lang w:val="en-US"/>
              </w:rPr>
              <w:t>-</w:t>
            </w:r>
          </w:p>
        </w:tc>
        <w:tc>
          <w:tcPr>
            <w:tcW w:w="1174" w:type="dxa"/>
          </w:tcPr>
          <w:p w14:paraId="6AD80509" w14:textId="645D5901" w:rsidR="00F709A4" w:rsidRPr="00F33983" w:rsidRDefault="00F709A4" w:rsidP="008B0A81">
            <w:pPr>
              <w:rPr>
                <w:sz w:val="16"/>
                <w:szCs w:val="16"/>
                <w:lang w:val="en-US"/>
              </w:rPr>
            </w:pPr>
            <w:r w:rsidRPr="00F33983">
              <w:rPr>
                <w:sz w:val="16"/>
                <w:szCs w:val="16"/>
                <w:lang w:val="en-US"/>
              </w:rPr>
              <w:t>Dynamic</w:t>
            </w:r>
            <w:r w:rsidR="005F2615" w:rsidRPr="00F33983">
              <w:rPr>
                <w:sz w:val="16"/>
                <w:szCs w:val="16"/>
                <w:lang w:val="en-US"/>
              </w:rPr>
              <w:t xml:space="preserve"> UL</w:t>
            </w:r>
            <w:r w:rsidR="00BD648D" w:rsidRPr="00F33983">
              <w:rPr>
                <w:sz w:val="16"/>
                <w:szCs w:val="16"/>
                <w:lang w:val="en-US"/>
              </w:rPr>
              <w:t xml:space="preserve"> </w:t>
            </w:r>
          </w:p>
        </w:tc>
        <w:tc>
          <w:tcPr>
            <w:tcW w:w="1174" w:type="dxa"/>
            <w:shd w:val="clear" w:color="auto" w:fill="BFBFBF" w:themeFill="background1" w:themeFillShade="BF"/>
          </w:tcPr>
          <w:p w14:paraId="7C462B5E" w14:textId="76E5934F" w:rsidR="00F709A4" w:rsidRPr="00F33983" w:rsidRDefault="00F709A4" w:rsidP="008B0A81">
            <w:pPr>
              <w:rPr>
                <w:sz w:val="16"/>
                <w:szCs w:val="16"/>
                <w:lang w:val="en-US"/>
              </w:rPr>
            </w:pPr>
          </w:p>
        </w:tc>
        <w:tc>
          <w:tcPr>
            <w:tcW w:w="1173" w:type="dxa"/>
            <w:shd w:val="clear" w:color="auto" w:fill="BFBFBF" w:themeFill="background1" w:themeFillShade="BF"/>
          </w:tcPr>
          <w:p w14:paraId="2AFAB427" w14:textId="5A868D3F" w:rsidR="00F709A4" w:rsidRPr="00F33983" w:rsidRDefault="00F709A4" w:rsidP="008B0A81">
            <w:pPr>
              <w:rPr>
                <w:sz w:val="16"/>
                <w:szCs w:val="16"/>
                <w:lang w:val="en-US"/>
              </w:rPr>
            </w:pPr>
          </w:p>
        </w:tc>
        <w:tc>
          <w:tcPr>
            <w:tcW w:w="1174" w:type="dxa"/>
            <w:shd w:val="clear" w:color="auto" w:fill="BFBFBF" w:themeFill="background1" w:themeFillShade="BF"/>
          </w:tcPr>
          <w:p w14:paraId="248DF7F2"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136778BD"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05CD86E6" w14:textId="77777777" w:rsidR="00F709A4" w:rsidRPr="00F525BE" w:rsidRDefault="00F709A4" w:rsidP="008B0A81">
            <w:pPr>
              <w:rPr>
                <w:lang w:val="en-US"/>
              </w:rPr>
            </w:pPr>
          </w:p>
        </w:tc>
      </w:tr>
      <w:tr w:rsidR="009D2A52" w:rsidRPr="00F525BE" w14:paraId="09632791" w14:textId="74C9380C" w:rsidTr="00AE141E">
        <w:tc>
          <w:tcPr>
            <w:tcW w:w="1413" w:type="dxa"/>
          </w:tcPr>
          <w:p w14:paraId="5852A428" w14:textId="77777777" w:rsidR="00F709A4" w:rsidRPr="00623121" w:rsidRDefault="00F709A4" w:rsidP="008B0A81">
            <w:pPr>
              <w:rPr>
                <w:b/>
                <w:bCs/>
                <w:sz w:val="16"/>
                <w:szCs w:val="16"/>
                <w:lang w:val="it-IT"/>
              </w:rPr>
            </w:pPr>
            <w:r w:rsidRPr="00623121">
              <w:rPr>
                <w:b/>
                <w:bCs/>
                <w:sz w:val="16"/>
                <w:szCs w:val="16"/>
                <w:lang w:val="it-IT"/>
              </w:rPr>
              <w:t>Semi-</w:t>
            </w:r>
            <w:proofErr w:type="spellStart"/>
            <w:r w:rsidRPr="00623121">
              <w:rPr>
                <w:b/>
                <w:bCs/>
                <w:sz w:val="16"/>
                <w:szCs w:val="16"/>
                <w:lang w:val="it-IT"/>
              </w:rPr>
              <w:t>static</w:t>
            </w:r>
            <w:proofErr w:type="spellEnd"/>
            <w:r w:rsidRPr="00623121">
              <w:rPr>
                <w:b/>
                <w:bCs/>
                <w:sz w:val="16"/>
                <w:szCs w:val="16"/>
                <w:lang w:val="it-IT"/>
              </w:rPr>
              <w:t xml:space="preserve"> UL</w:t>
            </w:r>
          </w:p>
        </w:tc>
        <w:tc>
          <w:tcPr>
            <w:tcW w:w="1173" w:type="dxa"/>
          </w:tcPr>
          <w:p w14:paraId="75707D27" w14:textId="63E8DD72" w:rsidR="00494B8D" w:rsidRPr="00F33983" w:rsidRDefault="00F709A4" w:rsidP="008B0A81">
            <w:pPr>
              <w:rPr>
                <w:sz w:val="16"/>
                <w:szCs w:val="16"/>
                <w:lang w:val="en-US"/>
              </w:rPr>
            </w:pPr>
            <w:r w:rsidRPr="00F33983">
              <w:rPr>
                <w:sz w:val="16"/>
                <w:szCs w:val="16"/>
                <w:lang w:val="en-US"/>
              </w:rPr>
              <w:t>Dynamic</w:t>
            </w:r>
            <w:r w:rsidR="00DD25A0" w:rsidRPr="00F33983">
              <w:rPr>
                <w:sz w:val="16"/>
                <w:szCs w:val="16"/>
                <w:lang w:val="en-US"/>
              </w:rPr>
              <w:t xml:space="preserve"> DL</w:t>
            </w:r>
            <w:r w:rsidR="00494B8D" w:rsidRPr="00F33983">
              <w:rPr>
                <w:sz w:val="16"/>
                <w:szCs w:val="16"/>
                <w:lang w:val="en-US"/>
              </w:rPr>
              <w:br/>
              <w:t>(</w:t>
            </w:r>
            <w:r w:rsidR="00517522" w:rsidRPr="00F33983">
              <w:rPr>
                <w:sz w:val="16"/>
                <w:szCs w:val="16"/>
                <w:lang w:val="en-US"/>
              </w:rPr>
              <w:t xml:space="preserve">within </w:t>
            </w:r>
            <w:r w:rsidR="00494B8D" w:rsidRPr="00F33983">
              <w:rPr>
                <w:sz w:val="16"/>
                <w:szCs w:val="16"/>
                <w:lang w:val="en-US"/>
              </w:rPr>
              <w:t>cancellation</w:t>
            </w:r>
            <w:r w:rsidR="00517522" w:rsidRPr="00F33983">
              <w:rPr>
                <w:sz w:val="16"/>
                <w:szCs w:val="16"/>
                <w:lang w:val="en-US"/>
              </w:rPr>
              <w:t xml:space="preserve"> timeline</w:t>
            </w:r>
            <w:r w:rsidR="00494B8D" w:rsidRPr="00F33983">
              <w:rPr>
                <w:sz w:val="16"/>
                <w:szCs w:val="16"/>
                <w:lang w:val="en-US"/>
              </w:rPr>
              <w:t>)</w:t>
            </w:r>
          </w:p>
        </w:tc>
        <w:tc>
          <w:tcPr>
            <w:tcW w:w="1174" w:type="dxa"/>
          </w:tcPr>
          <w:p w14:paraId="777E2D36" w14:textId="589B2F92" w:rsidR="00F709A4" w:rsidRPr="00F33983" w:rsidRDefault="00AB5530" w:rsidP="008B0A81">
            <w:pPr>
              <w:rPr>
                <w:sz w:val="16"/>
                <w:szCs w:val="16"/>
                <w:lang w:val="en-US"/>
              </w:rPr>
            </w:pPr>
            <w:r w:rsidRPr="00F33983">
              <w:rPr>
                <w:sz w:val="16"/>
                <w:szCs w:val="16"/>
                <w:lang w:val="en-US"/>
              </w:rPr>
              <w:t>-</w:t>
            </w:r>
          </w:p>
        </w:tc>
        <w:tc>
          <w:tcPr>
            <w:tcW w:w="1174" w:type="dxa"/>
            <w:shd w:val="clear" w:color="auto" w:fill="auto"/>
          </w:tcPr>
          <w:p w14:paraId="3E996E1F" w14:textId="72B7B96A" w:rsidR="00F709A4" w:rsidRPr="00F33983" w:rsidRDefault="00B47131" w:rsidP="008B0A81">
            <w:pPr>
              <w:rPr>
                <w:sz w:val="16"/>
                <w:szCs w:val="16"/>
                <w:lang w:val="en-US"/>
              </w:rPr>
            </w:pPr>
            <w:r w:rsidRPr="002B2642">
              <w:rPr>
                <w:sz w:val="16"/>
                <w:szCs w:val="16"/>
                <w:lang w:val="en-US"/>
              </w:rPr>
              <w:t>N</w:t>
            </w:r>
            <w:r w:rsidR="00F709A4" w:rsidRPr="002B2642">
              <w:rPr>
                <w:sz w:val="16"/>
                <w:szCs w:val="16"/>
                <w:lang w:val="en-US"/>
              </w:rPr>
              <w:t xml:space="preserve">ot </w:t>
            </w:r>
            <w:r w:rsidR="0073186D" w:rsidRPr="002B2642">
              <w:rPr>
                <w:sz w:val="16"/>
                <w:szCs w:val="16"/>
                <w:lang w:val="en-US"/>
              </w:rPr>
              <w:t>expected</w:t>
            </w:r>
          </w:p>
        </w:tc>
        <w:tc>
          <w:tcPr>
            <w:tcW w:w="1173" w:type="dxa"/>
            <w:shd w:val="clear" w:color="auto" w:fill="BFBFBF" w:themeFill="background1" w:themeFillShade="BF"/>
          </w:tcPr>
          <w:p w14:paraId="1F227EB2" w14:textId="60512D57" w:rsidR="00F709A4" w:rsidRPr="00F33983" w:rsidRDefault="00F709A4" w:rsidP="008B0A81">
            <w:pPr>
              <w:rPr>
                <w:sz w:val="16"/>
                <w:szCs w:val="16"/>
                <w:lang w:val="en-US"/>
              </w:rPr>
            </w:pPr>
          </w:p>
        </w:tc>
        <w:tc>
          <w:tcPr>
            <w:tcW w:w="1174" w:type="dxa"/>
            <w:shd w:val="clear" w:color="auto" w:fill="BFBFBF" w:themeFill="background1" w:themeFillShade="BF"/>
          </w:tcPr>
          <w:p w14:paraId="71536D31"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26DD3B4D" w14:textId="77777777" w:rsidR="00F709A4" w:rsidRPr="00F33983" w:rsidRDefault="00F709A4" w:rsidP="008B0A81">
            <w:pPr>
              <w:rPr>
                <w:sz w:val="16"/>
                <w:szCs w:val="16"/>
                <w:lang w:val="en-US"/>
              </w:rPr>
            </w:pPr>
          </w:p>
        </w:tc>
        <w:tc>
          <w:tcPr>
            <w:tcW w:w="1174" w:type="dxa"/>
            <w:shd w:val="clear" w:color="auto" w:fill="BFBFBF" w:themeFill="background1" w:themeFillShade="BF"/>
          </w:tcPr>
          <w:p w14:paraId="667822E9" w14:textId="77777777" w:rsidR="00F709A4" w:rsidRPr="00F525BE" w:rsidRDefault="00F709A4" w:rsidP="008B0A81">
            <w:pPr>
              <w:rPr>
                <w:lang w:val="en-US"/>
              </w:rPr>
            </w:pPr>
          </w:p>
        </w:tc>
      </w:tr>
      <w:tr w:rsidR="009D2A52" w:rsidRPr="00F525BE" w14:paraId="1C9BE096" w14:textId="3B7DF7D8" w:rsidTr="00AE141E">
        <w:tc>
          <w:tcPr>
            <w:tcW w:w="1413" w:type="dxa"/>
          </w:tcPr>
          <w:p w14:paraId="079933B2" w14:textId="5E79D6B9" w:rsidR="00E909AF" w:rsidRPr="00F525BE" w:rsidRDefault="00E909AF" w:rsidP="008B0A81">
            <w:pPr>
              <w:rPr>
                <w:b/>
                <w:bCs/>
                <w:sz w:val="16"/>
                <w:szCs w:val="16"/>
                <w:lang w:val="en-US"/>
              </w:rPr>
            </w:pPr>
            <w:r w:rsidRPr="00F525BE">
              <w:rPr>
                <w:b/>
                <w:bCs/>
                <w:sz w:val="16"/>
                <w:szCs w:val="16"/>
                <w:lang w:val="en-US"/>
              </w:rPr>
              <w:t>SSB</w:t>
            </w:r>
          </w:p>
        </w:tc>
        <w:tc>
          <w:tcPr>
            <w:tcW w:w="1173" w:type="dxa"/>
          </w:tcPr>
          <w:p w14:paraId="1B60DF5A" w14:textId="61F77240" w:rsidR="00E909AF" w:rsidRPr="00F33983" w:rsidRDefault="00E909AF" w:rsidP="008B0A81">
            <w:pPr>
              <w:rPr>
                <w:sz w:val="16"/>
                <w:szCs w:val="16"/>
                <w:lang w:val="en-US"/>
              </w:rPr>
            </w:pPr>
            <w:r w:rsidRPr="00F33983">
              <w:rPr>
                <w:sz w:val="16"/>
                <w:szCs w:val="16"/>
                <w:lang w:val="en-US"/>
              </w:rPr>
              <w:t>-</w:t>
            </w:r>
          </w:p>
        </w:tc>
        <w:tc>
          <w:tcPr>
            <w:tcW w:w="1174" w:type="dxa"/>
          </w:tcPr>
          <w:p w14:paraId="6E652F33" w14:textId="4E2CF79B" w:rsidR="00E909AF" w:rsidRPr="00F33983" w:rsidRDefault="00E909AF" w:rsidP="008B0A81">
            <w:pPr>
              <w:rPr>
                <w:sz w:val="16"/>
                <w:szCs w:val="16"/>
                <w:lang w:val="en-US"/>
              </w:rPr>
            </w:pPr>
            <w:r w:rsidRPr="002B2642">
              <w:rPr>
                <w:sz w:val="16"/>
                <w:szCs w:val="16"/>
                <w:lang w:val="en-US"/>
              </w:rPr>
              <w:t xml:space="preserve">Not </w:t>
            </w:r>
            <w:r w:rsidR="001A49FD">
              <w:rPr>
                <w:sz w:val="16"/>
                <w:szCs w:val="16"/>
                <w:lang w:val="en-US"/>
              </w:rPr>
              <w:t>expected</w:t>
            </w:r>
            <w:r w:rsidR="001A49FD" w:rsidRPr="00F33983">
              <w:rPr>
                <w:sz w:val="16"/>
                <w:szCs w:val="16"/>
                <w:lang w:val="en-US"/>
              </w:rPr>
              <w:t xml:space="preserve"> </w:t>
            </w:r>
            <w:r w:rsidRPr="00F33983">
              <w:rPr>
                <w:sz w:val="16"/>
                <w:szCs w:val="16"/>
                <w:lang w:val="en-US"/>
              </w:rPr>
              <w:t>(SSB)</w:t>
            </w:r>
          </w:p>
        </w:tc>
        <w:tc>
          <w:tcPr>
            <w:tcW w:w="1174" w:type="dxa"/>
          </w:tcPr>
          <w:p w14:paraId="3AD09783" w14:textId="7648F58D" w:rsidR="00E909AF" w:rsidRPr="00F33983" w:rsidRDefault="00E909AF" w:rsidP="008B0A81">
            <w:pPr>
              <w:rPr>
                <w:sz w:val="16"/>
                <w:szCs w:val="16"/>
                <w:lang w:val="en-US"/>
              </w:rPr>
            </w:pPr>
            <w:r w:rsidRPr="00F33983">
              <w:rPr>
                <w:sz w:val="16"/>
                <w:szCs w:val="16"/>
                <w:lang w:val="en-US"/>
              </w:rPr>
              <w:t>-</w:t>
            </w:r>
          </w:p>
        </w:tc>
        <w:tc>
          <w:tcPr>
            <w:tcW w:w="1173" w:type="dxa"/>
          </w:tcPr>
          <w:p w14:paraId="6F514A4A" w14:textId="52320FEF" w:rsidR="00E909AF" w:rsidRPr="00F33983" w:rsidRDefault="00E909AF" w:rsidP="008B0A81">
            <w:pPr>
              <w:rPr>
                <w:sz w:val="16"/>
                <w:szCs w:val="16"/>
                <w:lang w:val="en-US"/>
              </w:rPr>
            </w:pPr>
            <w:r w:rsidRPr="002B2642">
              <w:rPr>
                <w:sz w:val="16"/>
                <w:szCs w:val="16"/>
                <w:lang w:val="en-US"/>
              </w:rPr>
              <w:t>Not allowed</w:t>
            </w:r>
            <w:r w:rsidRPr="00F33983">
              <w:rPr>
                <w:sz w:val="16"/>
                <w:szCs w:val="16"/>
                <w:lang w:val="en-US"/>
              </w:rPr>
              <w:t xml:space="preserve"> (SSB)</w:t>
            </w:r>
          </w:p>
        </w:tc>
        <w:tc>
          <w:tcPr>
            <w:tcW w:w="1174" w:type="dxa"/>
            <w:shd w:val="clear" w:color="auto" w:fill="BFBFBF" w:themeFill="background1" w:themeFillShade="BF"/>
          </w:tcPr>
          <w:p w14:paraId="35AC8F02" w14:textId="77777777" w:rsidR="00E909AF" w:rsidRPr="00F33983" w:rsidRDefault="00E909AF" w:rsidP="008B0A81">
            <w:pPr>
              <w:rPr>
                <w:sz w:val="16"/>
                <w:szCs w:val="16"/>
                <w:lang w:val="en-US"/>
              </w:rPr>
            </w:pPr>
          </w:p>
        </w:tc>
        <w:tc>
          <w:tcPr>
            <w:tcW w:w="1174" w:type="dxa"/>
            <w:shd w:val="clear" w:color="auto" w:fill="BFBFBF" w:themeFill="background1" w:themeFillShade="BF"/>
          </w:tcPr>
          <w:p w14:paraId="1D9FA419" w14:textId="77777777" w:rsidR="00E909AF" w:rsidRPr="00F33983" w:rsidRDefault="00E909AF" w:rsidP="008B0A81">
            <w:pPr>
              <w:rPr>
                <w:sz w:val="16"/>
                <w:szCs w:val="16"/>
                <w:lang w:val="en-US"/>
              </w:rPr>
            </w:pPr>
          </w:p>
        </w:tc>
        <w:tc>
          <w:tcPr>
            <w:tcW w:w="1174" w:type="dxa"/>
            <w:shd w:val="clear" w:color="auto" w:fill="BFBFBF" w:themeFill="background1" w:themeFillShade="BF"/>
          </w:tcPr>
          <w:p w14:paraId="6A99E658" w14:textId="77777777" w:rsidR="00E909AF" w:rsidRPr="00F525BE" w:rsidRDefault="00E909AF" w:rsidP="008B0A81">
            <w:pPr>
              <w:rPr>
                <w:lang w:val="en-US"/>
              </w:rPr>
            </w:pPr>
          </w:p>
        </w:tc>
      </w:tr>
      <w:tr w:rsidR="009D2A52" w:rsidRPr="00F525BE" w14:paraId="3591E26D" w14:textId="34CF8111" w:rsidTr="00AE141E">
        <w:tc>
          <w:tcPr>
            <w:tcW w:w="1413" w:type="dxa"/>
          </w:tcPr>
          <w:p w14:paraId="6A234CA5" w14:textId="0867B68F" w:rsidR="00E909AF" w:rsidRPr="00F525BE" w:rsidRDefault="00E909AF" w:rsidP="008B0A81">
            <w:pPr>
              <w:rPr>
                <w:b/>
                <w:bCs/>
                <w:sz w:val="16"/>
                <w:szCs w:val="16"/>
                <w:lang w:val="en-US"/>
              </w:rPr>
            </w:pPr>
            <w:r w:rsidRPr="00F525BE">
              <w:rPr>
                <w:b/>
                <w:bCs/>
                <w:sz w:val="16"/>
                <w:szCs w:val="16"/>
                <w:lang w:val="en-US"/>
              </w:rPr>
              <w:t xml:space="preserve">Type 0 CSS </w:t>
            </w:r>
          </w:p>
        </w:tc>
        <w:tc>
          <w:tcPr>
            <w:tcW w:w="1173" w:type="dxa"/>
          </w:tcPr>
          <w:p w14:paraId="6740352C" w14:textId="7340F487" w:rsidR="00E909AF" w:rsidRPr="00F33983" w:rsidRDefault="00E909AF" w:rsidP="008B0A81">
            <w:pPr>
              <w:rPr>
                <w:sz w:val="16"/>
                <w:szCs w:val="16"/>
                <w:lang w:val="en-US"/>
              </w:rPr>
            </w:pPr>
            <w:r w:rsidRPr="00F33983">
              <w:rPr>
                <w:sz w:val="16"/>
                <w:szCs w:val="16"/>
                <w:lang w:val="en-US"/>
              </w:rPr>
              <w:t>-</w:t>
            </w:r>
          </w:p>
        </w:tc>
        <w:tc>
          <w:tcPr>
            <w:tcW w:w="1174" w:type="dxa"/>
          </w:tcPr>
          <w:p w14:paraId="2544D405" w14:textId="481F8DB8" w:rsidR="00E909AF" w:rsidRPr="00F33983" w:rsidRDefault="00E909AF" w:rsidP="008B0A81">
            <w:pPr>
              <w:rPr>
                <w:sz w:val="16"/>
                <w:szCs w:val="16"/>
                <w:lang w:val="en-US"/>
              </w:rPr>
            </w:pPr>
            <w:r w:rsidRPr="002B2642">
              <w:rPr>
                <w:sz w:val="16"/>
                <w:szCs w:val="16"/>
                <w:lang w:val="en-US"/>
              </w:rPr>
              <w:t xml:space="preserve">Not </w:t>
            </w:r>
            <w:r w:rsidR="00E773DE">
              <w:rPr>
                <w:sz w:val="16"/>
                <w:szCs w:val="16"/>
                <w:lang w:val="en-US"/>
              </w:rPr>
              <w:t>expected</w:t>
            </w:r>
            <w:r w:rsidR="00E773DE" w:rsidRPr="00F33983">
              <w:rPr>
                <w:sz w:val="16"/>
                <w:szCs w:val="16"/>
                <w:lang w:val="en-US"/>
              </w:rPr>
              <w:t xml:space="preserve"> </w:t>
            </w:r>
            <w:r w:rsidRPr="00F33983">
              <w:rPr>
                <w:sz w:val="16"/>
                <w:szCs w:val="16"/>
                <w:lang w:val="en-US"/>
              </w:rPr>
              <w:t>(Type 0 CSS)</w:t>
            </w:r>
          </w:p>
        </w:tc>
        <w:tc>
          <w:tcPr>
            <w:tcW w:w="1174" w:type="dxa"/>
          </w:tcPr>
          <w:p w14:paraId="5C868108" w14:textId="68011C5B" w:rsidR="00E909AF" w:rsidRPr="00F33983" w:rsidRDefault="00E909AF" w:rsidP="008B0A81">
            <w:pPr>
              <w:rPr>
                <w:sz w:val="16"/>
                <w:szCs w:val="16"/>
                <w:lang w:val="en-US"/>
              </w:rPr>
            </w:pPr>
            <w:r w:rsidRPr="00F33983">
              <w:rPr>
                <w:sz w:val="16"/>
                <w:szCs w:val="16"/>
                <w:lang w:val="en-US"/>
              </w:rPr>
              <w:t>-</w:t>
            </w:r>
          </w:p>
        </w:tc>
        <w:tc>
          <w:tcPr>
            <w:tcW w:w="1173" w:type="dxa"/>
          </w:tcPr>
          <w:p w14:paraId="2F10F91B" w14:textId="26D30D59" w:rsidR="00E909AF" w:rsidRPr="00F33983" w:rsidRDefault="00E909AF" w:rsidP="008B0A81">
            <w:pPr>
              <w:rPr>
                <w:sz w:val="16"/>
                <w:szCs w:val="16"/>
                <w:lang w:val="en-US"/>
              </w:rPr>
            </w:pPr>
            <w:r w:rsidRPr="002B2642">
              <w:rPr>
                <w:sz w:val="16"/>
                <w:szCs w:val="16"/>
                <w:lang w:val="en-US"/>
              </w:rPr>
              <w:t xml:space="preserve">Not </w:t>
            </w:r>
            <w:r w:rsidR="00E773DE">
              <w:rPr>
                <w:sz w:val="16"/>
                <w:szCs w:val="16"/>
                <w:lang w:val="en-US"/>
              </w:rPr>
              <w:t>expected</w:t>
            </w:r>
            <w:r w:rsidR="00E773DE" w:rsidRPr="00F33983">
              <w:rPr>
                <w:sz w:val="16"/>
                <w:szCs w:val="16"/>
                <w:lang w:val="en-US"/>
              </w:rPr>
              <w:t xml:space="preserve"> </w:t>
            </w:r>
            <w:r w:rsidRPr="00F33983">
              <w:rPr>
                <w:sz w:val="16"/>
                <w:szCs w:val="16"/>
                <w:lang w:val="en-US"/>
              </w:rPr>
              <w:t>(Type 0 CSS)</w:t>
            </w:r>
          </w:p>
        </w:tc>
        <w:tc>
          <w:tcPr>
            <w:tcW w:w="1174" w:type="dxa"/>
          </w:tcPr>
          <w:p w14:paraId="39315B8C" w14:textId="16213BBA" w:rsidR="00E909AF" w:rsidRPr="00F33983" w:rsidRDefault="00E909AF" w:rsidP="008B0A81">
            <w:pPr>
              <w:rPr>
                <w:sz w:val="16"/>
                <w:szCs w:val="16"/>
                <w:lang w:val="en-US"/>
              </w:rPr>
            </w:pPr>
            <w:r w:rsidRPr="00F33983">
              <w:rPr>
                <w:sz w:val="16"/>
                <w:szCs w:val="16"/>
                <w:lang w:val="en-US"/>
              </w:rPr>
              <w:t>-</w:t>
            </w:r>
          </w:p>
        </w:tc>
        <w:tc>
          <w:tcPr>
            <w:tcW w:w="1174" w:type="dxa"/>
            <w:shd w:val="clear" w:color="auto" w:fill="BFBFBF" w:themeFill="background1" w:themeFillShade="BF"/>
          </w:tcPr>
          <w:p w14:paraId="33D09AEB" w14:textId="77777777" w:rsidR="00E909AF" w:rsidRPr="00F33983" w:rsidRDefault="00E909AF" w:rsidP="008B0A81">
            <w:pPr>
              <w:rPr>
                <w:sz w:val="16"/>
                <w:szCs w:val="16"/>
                <w:lang w:val="en-US"/>
              </w:rPr>
            </w:pPr>
          </w:p>
        </w:tc>
        <w:tc>
          <w:tcPr>
            <w:tcW w:w="1174" w:type="dxa"/>
            <w:shd w:val="clear" w:color="auto" w:fill="BFBFBF" w:themeFill="background1" w:themeFillShade="BF"/>
          </w:tcPr>
          <w:p w14:paraId="1797305C" w14:textId="77777777" w:rsidR="00E909AF" w:rsidRPr="00F525BE" w:rsidRDefault="00E909AF" w:rsidP="008B0A81">
            <w:pPr>
              <w:rPr>
                <w:lang w:val="en-US"/>
              </w:rPr>
            </w:pPr>
          </w:p>
        </w:tc>
      </w:tr>
      <w:tr w:rsidR="009D2A52" w:rsidRPr="00F525BE" w14:paraId="13270838" w14:textId="2F8EA831" w:rsidTr="00AE141E">
        <w:tc>
          <w:tcPr>
            <w:tcW w:w="1413" w:type="dxa"/>
          </w:tcPr>
          <w:p w14:paraId="53160219" w14:textId="0194ABAB" w:rsidR="00517522" w:rsidRPr="00F525BE" w:rsidRDefault="00517522" w:rsidP="008B0A81">
            <w:pPr>
              <w:rPr>
                <w:b/>
                <w:bCs/>
                <w:sz w:val="16"/>
                <w:szCs w:val="16"/>
                <w:lang w:val="en-US"/>
              </w:rPr>
            </w:pPr>
            <w:r w:rsidRPr="00F525BE">
              <w:rPr>
                <w:b/>
                <w:bCs/>
                <w:sz w:val="16"/>
                <w:szCs w:val="16"/>
                <w:lang w:val="en-US"/>
              </w:rPr>
              <w:t xml:space="preserve">Valid RO </w:t>
            </w:r>
          </w:p>
        </w:tc>
        <w:tc>
          <w:tcPr>
            <w:tcW w:w="1173" w:type="dxa"/>
          </w:tcPr>
          <w:p w14:paraId="0E5B65CE" w14:textId="320EF078" w:rsidR="00517522" w:rsidRPr="00F33983" w:rsidRDefault="00517522" w:rsidP="008B0A81">
            <w:pPr>
              <w:rPr>
                <w:sz w:val="16"/>
                <w:szCs w:val="16"/>
                <w:lang w:val="en-US"/>
              </w:rPr>
            </w:pPr>
            <w:r w:rsidRPr="00F33983">
              <w:rPr>
                <w:sz w:val="16"/>
                <w:szCs w:val="16"/>
                <w:lang w:val="en-US"/>
              </w:rPr>
              <w:t>Dynamic DL</w:t>
            </w:r>
            <w:r w:rsidRPr="00F33983">
              <w:rPr>
                <w:sz w:val="16"/>
                <w:szCs w:val="16"/>
                <w:lang w:val="en-US"/>
              </w:rPr>
              <w:br/>
              <w:t>(within cancellation timeline)</w:t>
            </w:r>
          </w:p>
        </w:tc>
        <w:tc>
          <w:tcPr>
            <w:tcW w:w="1174" w:type="dxa"/>
          </w:tcPr>
          <w:p w14:paraId="635D58D0" w14:textId="38C4E9DB" w:rsidR="00517522" w:rsidRPr="00F33983" w:rsidRDefault="00517522" w:rsidP="008B0A81">
            <w:pPr>
              <w:rPr>
                <w:sz w:val="16"/>
                <w:szCs w:val="16"/>
                <w:lang w:val="en-US"/>
              </w:rPr>
            </w:pPr>
            <w:r w:rsidRPr="00F33983">
              <w:rPr>
                <w:sz w:val="16"/>
                <w:szCs w:val="16"/>
                <w:lang w:val="en-US"/>
              </w:rPr>
              <w:t>-</w:t>
            </w:r>
          </w:p>
        </w:tc>
        <w:tc>
          <w:tcPr>
            <w:tcW w:w="1174" w:type="dxa"/>
          </w:tcPr>
          <w:p w14:paraId="0F25209F" w14:textId="49F4E72A" w:rsidR="00517522" w:rsidRPr="00F33983" w:rsidRDefault="00517522" w:rsidP="008B0A81">
            <w:pPr>
              <w:rPr>
                <w:sz w:val="16"/>
                <w:szCs w:val="16"/>
                <w:lang w:val="en-US"/>
              </w:rPr>
            </w:pPr>
            <w:r w:rsidRPr="002B2642">
              <w:rPr>
                <w:sz w:val="16"/>
                <w:szCs w:val="16"/>
                <w:lang w:val="en-US"/>
              </w:rPr>
              <w:t>Not expected</w:t>
            </w:r>
          </w:p>
        </w:tc>
        <w:tc>
          <w:tcPr>
            <w:tcW w:w="1173" w:type="dxa"/>
          </w:tcPr>
          <w:p w14:paraId="1E612D4F" w14:textId="052B7394" w:rsidR="00517522" w:rsidRPr="00F33983" w:rsidRDefault="00517522" w:rsidP="008B0A81">
            <w:pPr>
              <w:rPr>
                <w:sz w:val="16"/>
                <w:szCs w:val="16"/>
                <w:lang w:val="en-US"/>
              </w:rPr>
            </w:pPr>
            <w:r w:rsidRPr="00F33983">
              <w:rPr>
                <w:sz w:val="16"/>
                <w:szCs w:val="16"/>
                <w:lang w:val="en-US"/>
              </w:rPr>
              <w:t>-</w:t>
            </w:r>
          </w:p>
        </w:tc>
        <w:tc>
          <w:tcPr>
            <w:tcW w:w="1174" w:type="dxa"/>
          </w:tcPr>
          <w:p w14:paraId="1113F65C" w14:textId="60D00F5A" w:rsidR="00517522" w:rsidRPr="00F33983" w:rsidRDefault="00517522" w:rsidP="008B0A81">
            <w:pPr>
              <w:rPr>
                <w:sz w:val="16"/>
                <w:szCs w:val="16"/>
                <w:lang w:val="en-US"/>
              </w:rPr>
            </w:pPr>
            <w:r w:rsidRPr="00F33983">
              <w:rPr>
                <w:sz w:val="16"/>
                <w:szCs w:val="16"/>
                <w:lang w:val="en-US"/>
              </w:rPr>
              <w:t>Not allowed (SSB)</w:t>
            </w:r>
          </w:p>
        </w:tc>
        <w:tc>
          <w:tcPr>
            <w:tcW w:w="1174" w:type="dxa"/>
            <w:shd w:val="clear" w:color="auto" w:fill="auto"/>
          </w:tcPr>
          <w:p w14:paraId="45DEE5E9" w14:textId="79B270D6" w:rsidR="00517522" w:rsidRPr="00F33983" w:rsidRDefault="00D353FE" w:rsidP="008B0A81">
            <w:pPr>
              <w:rPr>
                <w:sz w:val="16"/>
                <w:szCs w:val="16"/>
                <w:lang w:val="en-US"/>
              </w:rPr>
            </w:pPr>
            <w:r w:rsidRPr="002B2642">
              <w:rPr>
                <w:sz w:val="16"/>
                <w:szCs w:val="16"/>
                <w:lang w:val="en-US"/>
              </w:rPr>
              <w:t xml:space="preserve">Not </w:t>
            </w:r>
            <w:r w:rsidR="005D3105">
              <w:rPr>
                <w:sz w:val="16"/>
                <w:szCs w:val="16"/>
                <w:lang w:val="en-US"/>
              </w:rPr>
              <w:t>expected</w:t>
            </w:r>
            <w:r w:rsidR="005D3105" w:rsidRPr="00F33983">
              <w:rPr>
                <w:sz w:val="16"/>
                <w:szCs w:val="16"/>
                <w:lang w:val="en-US"/>
              </w:rPr>
              <w:t xml:space="preserve"> </w:t>
            </w:r>
            <w:r w:rsidRPr="00F33983">
              <w:rPr>
                <w:sz w:val="16"/>
                <w:szCs w:val="16"/>
                <w:lang w:val="en-US"/>
              </w:rPr>
              <w:t>(Type 0 CSS)</w:t>
            </w:r>
          </w:p>
        </w:tc>
        <w:tc>
          <w:tcPr>
            <w:tcW w:w="1174" w:type="dxa"/>
            <w:shd w:val="clear" w:color="auto" w:fill="BFBFBF" w:themeFill="background1" w:themeFillShade="BF"/>
          </w:tcPr>
          <w:p w14:paraId="0ED72616" w14:textId="77777777" w:rsidR="00517522" w:rsidRPr="00F525BE" w:rsidRDefault="00517522" w:rsidP="008B0A81">
            <w:pPr>
              <w:rPr>
                <w:lang w:val="en-US"/>
              </w:rPr>
            </w:pPr>
          </w:p>
        </w:tc>
      </w:tr>
    </w:tbl>
    <w:p w14:paraId="69CD8B8C" w14:textId="43EBD0FC" w:rsidR="00055DBC" w:rsidRDefault="00517522" w:rsidP="008B0A81">
      <w:pPr>
        <w:shd w:val="clear" w:color="auto" w:fill="FFFFFF"/>
        <w:spacing w:before="180"/>
        <w:jc w:val="both"/>
        <w:rPr>
          <w:lang w:val="en-US"/>
        </w:rPr>
      </w:pPr>
      <w:r>
        <w:rPr>
          <w:lang w:val="en-US"/>
        </w:rPr>
        <w:t xml:space="preserve">UL-DL collision handling </w:t>
      </w:r>
      <w:r w:rsidRPr="00511745">
        <w:rPr>
          <w:lang w:val="en-US"/>
        </w:rPr>
        <w:t xml:space="preserve">according to currents specifications is summarized </w:t>
      </w:r>
      <w:r w:rsidRPr="00F33983">
        <w:rPr>
          <w:lang w:val="en-US"/>
        </w:rPr>
        <w:t xml:space="preserve">in </w:t>
      </w:r>
      <w:r w:rsidRPr="00F33983">
        <w:rPr>
          <w:lang w:val="en-US"/>
        </w:rPr>
        <w:fldChar w:fldCharType="begin"/>
      </w:r>
      <w:r w:rsidRPr="00F33983">
        <w:rPr>
          <w:lang w:val="en-US"/>
        </w:rPr>
        <w:instrText xml:space="preserve"> REF _Ref118281120 \h  \* MERGEFORMAT </w:instrText>
      </w:r>
      <w:r w:rsidRPr="00F33983">
        <w:rPr>
          <w:lang w:val="en-US"/>
        </w:rPr>
      </w:r>
      <w:r w:rsidRPr="00F33983">
        <w:rPr>
          <w:lang w:val="en-US"/>
        </w:rPr>
        <w:fldChar w:fldCharType="separate"/>
      </w:r>
      <w:r w:rsidR="00C15552" w:rsidRPr="00A81D91">
        <w:rPr>
          <w:lang w:val="en-US"/>
        </w:rPr>
        <w:t xml:space="preserve">Table </w:t>
      </w:r>
      <w:r w:rsidR="00C15552" w:rsidRPr="00B20D84">
        <w:rPr>
          <w:noProof/>
          <w:lang w:val="en-US"/>
        </w:rPr>
        <w:t>2</w:t>
      </w:r>
      <w:r w:rsidRPr="00F33983">
        <w:rPr>
          <w:lang w:val="en-US"/>
        </w:rPr>
        <w:fldChar w:fldCharType="end"/>
      </w:r>
      <w:r>
        <w:rPr>
          <w:lang w:val="en-US"/>
        </w:rPr>
        <w:t>. We consider only cases with UL-DL collisions. For valid RO, based on TS 38.</w:t>
      </w:r>
      <w:r w:rsidR="007E6836">
        <w:rPr>
          <w:lang w:val="en-US"/>
        </w:rPr>
        <w:t>213</w:t>
      </w:r>
      <w:r>
        <w:rPr>
          <w:lang w:val="en-US"/>
        </w:rPr>
        <w:t xml:space="preserve">, a RO is invalid if it collides with SSB. Therefore, we assume collisions between valid RO and SSB are not allowed in current specifications. We assume the same applies for collision between valid RO and Type 0 CSS, as the UE does not expect Type 0 CSS in slots/symbols that are configured as UL by either higher layer signaling or SFI. </w:t>
      </w:r>
    </w:p>
    <w:p w14:paraId="671276ED" w14:textId="124B3218" w:rsidR="00436F92" w:rsidRDefault="00517522" w:rsidP="008B0A81">
      <w:pPr>
        <w:shd w:val="clear" w:color="auto" w:fill="FFFFFF"/>
        <w:spacing w:before="180"/>
        <w:jc w:val="both"/>
        <w:rPr>
          <w:lang w:val="en-US"/>
        </w:rPr>
      </w:pPr>
      <w:r>
        <w:rPr>
          <w:lang w:val="en-US"/>
        </w:rPr>
        <w:t xml:space="preserve">For the same reason, we consider as not allowed/expected collisions between dynamic or semi-static UL and SSB or Type 0 CSS. As a valid RO can </w:t>
      </w:r>
      <w:r w:rsidR="00D01F3A">
        <w:rPr>
          <w:lang w:val="en-US"/>
        </w:rPr>
        <w:t xml:space="preserve">in principle </w:t>
      </w:r>
      <w:r>
        <w:rPr>
          <w:lang w:val="en-US"/>
        </w:rPr>
        <w:t xml:space="preserve">be configured in a </w:t>
      </w:r>
      <w:r w:rsidRPr="00D8302B">
        <w:rPr>
          <w:lang w:val="en-US"/>
        </w:rPr>
        <w:t xml:space="preserve">set of symbols indicated as </w:t>
      </w:r>
      <w:r>
        <w:rPr>
          <w:lang w:val="en-US"/>
        </w:rPr>
        <w:t xml:space="preserve">flexible </w:t>
      </w:r>
      <w:r w:rsidRPr="00D8302B">
        <w:rPr>
          <w:lang w:val="en-US"/>
        </w:rPr>
        <w:t xml:space="preserve">by </w:t>
      </w:r>
      <w:proofErr w:type="spellStart"/>
      <w:r w:rsidRPr="00E21AD3">
        <w:rPr>
          <w:i/>
          <w:iCs/>
          <w:lang w:val="en-US"/>
        </w:rPr>
        <w:t>tdd</w:t>
      </w:r>
      <w:proofErr w:type="spellEnd"/>
      <w:r w:rsidRPr="00E21AD3">
        <w:rPr>
          <w:i/>
          <w:iCs/>
          <w:lang w:val="en-US"/>
        </w:rPr>
        <w:t>-UL-DL-</w:t>
      </w:r>
      <w:proofErr w:type="spellStart"/>
      <w:r w:rsidRPr="00E21AD3">
        <w:rPr>
          <w:i/>
          <w:iCs/>
          <w:lang w:val="en-US"/>
        </w:rPr>
        <w:t>ConfigurationCommon</w:t>
      </w:r>
      <w:proofErr w:type="spellEnd"/>
      <w:r w:rsidRPr="00D8302B">
        <w:rPr>
          <w:lang w:val="en-US"/>
        </w:rPr>
        <w:t xml:space="preserve">, or </w:t>
      </w:r>
      <w:proofErr w:type="spellStart"/>
      <w:r w:rsidRPr="00E21AD3">
        <w:rPr>
          <w:i/>
          <w:iCs/>
          <w:lang w:val="en-US"/>
        </w:rPr>
        <w:t>tdd</w:t>
      </w:r>
      <w:proofErr w:type="spellEnd"/>
      <w:r w:rsidRPr="00E21AD3">
        <w:rPr>
          <w:i/>
          <w:iCs/>
          <w:lang w:val="en-US"/>
        </w:rPr>
        <w:t>-UL-DL-</w:t>
      </w:r>
      <w:proofErr w:type="spellStart"/>
      <w:r w:rsidRPr="00E21AD3">
        <w:rPr>
          <w:i/>
          <w:iCs/>
          <w:lang w:val="en-US"/>
        </w:rPr>
        <w:t>ConfigurationDedicated</w:t>
      </w:r>
      <w:proofErr w:type="spellEnd"/>
      <w:r w:rsidRPr="00FE22E0">
        <w:rPr>
          <w:lang w:val="en-US"/>
        </w:rPr>
        <w:t xml:space="preserve">, we assume that in case of dynamic DL colliding with valid RO, dynamic DL transmission is prioritized. On the other hand, collisions between valid RO and semi-static DL </w:t>
      </w:r>
      <w:r>
        <w:rPr>
          <w:lang w:val="en-US"/>
        </w:rPr>
        <w:t>are</w:t>
      </w:r>
      <w:r w:rsidRPr="00FE22E0">
        <w:rPr>
          <w:lang w:val="en-US"/>
        </w:rPr>
        <w:t xml:space="preserve"> not expected</w:t>
      </w:r>
      <w:r w:rsidR="0026342C">
        <w:rPr>
          <w:lang w:val="en-US"/>
        </w:rPr>
        <w:t xml:space="preserve"> (for the same reason why </w:t>
      </w:r>
      <w:r w:rsidR="00436F92">
        <w:rPr>
          <w:lang w:val="en-US"/>
        </w:rPr>
        <w:t xml:space="preserve">collision between semi-static DL and UL is not expected). </w:t>
      </w:r>
    </w:p>
    <w:p w14:paraId="43B735E4" w14:textId="60C8C602" w:rsidR="00A65C0B" w:rsidRDefault="00A05806" w:rsidP="008B0A81">
      <w:pPr>
        <w:shd w:val="clear" w:color="auto" w:fill="FFFFFF"/>
        <w:jc w:val="both"/>
        <w:rPr>
          <w:lang w:val="en-US"/>
        </w:rPr>
      </w:pPr>
      <w:bookmarkStart w:id="1258" w:name="OLE_LINK5"/>
      <w:r w:rsidRPr="00D72C70">
        <w:rPr>
          <w:lang w:val="en-US"/>
        </w:rPr>
        <w:t xml:space="preserve">One of the </w:t>
      </w:r>
      <w:r w:rsidR="00E91F34" w:rsidRPr="00D72C70">
        <w:rPr>
          <w:lang w:val="en-US"/>
        </w:rPr>
        <w:t>targets</w:t>
      </w:r>
      <w:r w:rsidRPr="00D72C70">
        <w:rPr>
          <w:lang w:val="en-US"/>
        </w:rPr>
        <w:t xml:space="preserve"> of </w:t>
      </w:r>
      <w:r w:rsidR="00E74E2F" w:rsidRPr="00D72C70">
        <w:rPr>
          <w:lang w:val="en-US"/>
        </w:rPr>
        <w:t xml:space="preserve">SBFD </w:t>
      </w:r>
      <w:r w:rsidRPr="00D72C70">
        <w:rPr>
          <w:lang w:val="en-US"/>
        </w:rPr>
        <w:t>is to reduce latency</w:t>
      </w:r>
      <w:r w:rsidR="00E102D7" w:rsidRPr="00D72C70">
        <w:rPr>
          <w:lang w:val="en-US"/>
        </w:rPr>
        <w:t xml:space="preserve"> as compared TDD</w:t>
      </w:r>
      <w:r w:rsidRPr="00D72C70">
        <w:rPr>
          <w:lang w:val="en-US"/>
        </w:rPr>
        <w:t>, especially in u</w:t>
      </w:r>
      <w:r w:rsidR="00E102D7" w:rsidRPr="00D72C70">
        <w:rPr>
          <w:lang w:val="en-US"/>
        </w:rPr>
        <w:t>plink.</w:t>
      </w:r>
      <w:r w:rsidR="00E74E2F" w:rsidRPr="00D72C70">
        <w:rPr>
          <w:lang w:val="en-US"/>
        </w:rPr>
        <w:t xml:space="preserve"> </w:t>
      </w:r>
      <w:r w:rsidR="00E91F34" w:rsidRPr="00D72C70">
        <w:rPr>
          <w:lang w:val="en-US"/>
        </w:rPr>
        <w:t>To</w:t>
      </w:r>
      <w:r w:rsidR="00E74E2F" w:rsidRPr="00D72C70">
        <w:rPr>
          <w:lang w:val="en-US"/>
        </w:rPr>
        <w:t xml:space="preserve"> </w:t>
      </w:r>
      <w:r w:rsidR="00E102D7" w:rsidRPr="00D72C70">
        <w:rPr>
          <w:lang w:val="en-US"/>
        </w:rPr>
        <w:t>achieve th</w:t>
      </w:r>
      <w:r w:rsidR="00E91F34" w:rsidRPr="00D72C70">
        <w:rPr>
          <w:lang w:val="en-US"/>
        </w:rPr>
        <w:t>is</w:t>
      </w:r>
      <w:r w:rsidR="00E74E2F" w:rsidRPr="00D72C70">
        <w:rPr>
          <w:lang w:val="en-US"/>
        </w:rPr>
        <w:t xml:space="preserve">, the network may </w:t>
      </w:r>
      <w:r w:rsidR="00E102D7" w:rsidRPr="00D72C70">
        <w:rPr>
          <w:lang w:val="en-US"/>
        </w:rPr>
        <w:t>need</w:t>
      </w:r>
      <w:r w:rsidR="00E74E2F" w:rsidRPr="00D72C70">
        <w:rPr>
          <w:lang w:val="en-US"/>
        </w:rPr>
        <w:t xml:space="preserve"> to configure the UE with</w:t>
      </w:r>
      <w:r w:rsidR="00E04C06" w:rsidRPr="00D72C70">
        <w:rPr>
          <w:lang w:val="en-US"/>
        </w:rPr>
        <w:t xml:space="preserve"> semi-static </w:t>
      </w:r>
      <w:r w:rsidR="002E3BAB" w:rsidRPr="00D72C70">
        <w:rPr>
          <w:lang w:val="en-US"/>
        </w:rPr>
        <w:t xml:space="preserve">UL </w:t>
      </w:r>
      <w:r w:rsidR="009C7468" w:rsidRPr="00D72C70">
        <w:rPr>
          <w:lang w:val="en-US"/>
        </w:rPr>
        <w:t>transmission</w:t>
      </w:r>
      <w:r w:rsidR="00E91F34" w:rsidRPr="00D72C70">
        <w:rPr>
          <w:lang w:val="en-US"/>
        </w:rPr>
        <w:t xml:space="preserve"> opportunities </w:t>
      </w:r>
      <w:r w:rsidR="009C7468" w:rsidRPr="00D72C70">
        <w:rPr>
          <w:lang w:val="en-US"/>
        </w:rPr>
        <w:t xml:space="preserve">with very high periodicity, </w:t>
      </w:r>
      <w:r w:rsidR="002E3BAB" w:rsidRPr="00D72C70">
        <w:rPr>
          <w:lang w:val="en-US"/>
        </w:rPr>
        <w:t xml:space="preserve">in principle </w:t>
      </w:r>
      <w:r w:rsidR="00E91F34" w:rsidRPr="00D72C70">
        <w:rPr>
          <w:lang w:val="en-US"/>
        </w:rPr>
        <w:t xml:space="preserve">up to </w:t>
      </w:r>
      <w:r w:rsidR="002E3BAB" w:rsidRPr="00D72C70">
        <w:rPr>
          <w:lang w:val="en-US"/>
        </w:rPr>
        <w:t xml:space="preserve">every </w:t>
      </w:r>
      <w:r w:rsidR="005E1456" w:rsidRPr="00D72C70">
        <w:rPr>
          <w:lang w:val="en-US"/>
        </w:rPr>
        <w:t>slot</w:t>
      </w:r>
      <w:r w:rsidR="00C257E8" w:rsidRPr="00D72C70">
        <w:rPr>
          <w:lang w:val="en-US"/>
        </w:rPr>
        <w:t xml:space="preserve">. </w:t>
      </w:r>
      <w:r w:rsidR="001F2211">
        <w:rPr>
          <w:lang w:val="en-US"/>
        </w:rPr>
        <w:t>In this case</w:t>
      </w:r>
      <w:r w:rsidR="00C257E8" w:rsidRPr="00D72C70">
        <w:rPr>
          <w:lang w:val="en-US"/>
        </w:rPr>
        <w:t xml:space="preserve">, </w:t>
      </w:r>
      <w:r w:rsidR="003E5F9A" w:rsidRPr="00D72C70">
        <w:rPr>
          <w:lang w:val="en-US"/>
        </w:rPr>
        <w:t xml:space="preserve">as the UE is still </w:t>
      </w:r>
      <w:r w:rsidR="001F2211">
        <w:rPr>
          <w:lang w:val="en-US"/>
        </w:rPr>
        <w:t>half duplex</w:t>
      </w:r>
      <w:r w:rsidR="00C257E8" w:rsidRPr="00D72C70">
        <w:rPr>
          <w:lang w:val="en-US"/>
        </w:rPr>
        <w:t xml:space="preserve">, new collision rules may </w:t>
      </w:r>
      <w:r w:rsidR="00616418" w:rsidRPr="00D72C70">
        <w:rPr>
          <w:lang w:val="en-US"/>
        </w:rPr>
        <w:t xml:space="preserve">need to be specified </w:t>
      </w:r>
      <w:r w:rsidRPr="00D72C70">
        <w:rPr>
          <w:lang w:val="en-US"/>
        </w:rPr>
        <w:t xml:space="preserve">to </w:t>
      </w:r>
      <w:r w:rsidR="00216372" w:rsidRPr="00D72C70">
        <w:rPr>
          <w:lang w:val="en-US"/>
        </w:rPr>
        <w:t xml:space="preserve">determine </w:t>
      </w:r>
      <w:r w:rsidR="001F2211">
        <w:rPr>
          <w:lang w:val="en-US"/>
        </w:rPr>
        <w:t xml:space="preserve">the </w:t>
      </w:r>
      <w:r w:rsidRPr="00D72C70">
        <w:rPr>
          <w:lang w:val="en-US"/>
        </w:rPr>
        <w:t xml:space="preserve">conditions </w:t>
      </w:r>
      <w:r w:rsidR="001F2211" w:rsidRPr="00D72C70">
        <w:rPr>
          <w:lang w:val="en-US"/>
        </w:rPr>
        <w:t xml:space="preserve">based on which </w:t>
      </w:r>
      <w:r w:rsidRPr="00D72C70">
        <w:rPr>
          <w:lang w:val="en-US"/>
        </w:rPr>
        <w:t xml:space="preserve">the UE </w:t>
      </w:r>
      <w:r w:rsidR="001F2211">
        <w:rPr>
          <w:lang w:val="en-US"/>
        </w:rPr>
        <w:t>shall</w:t>
      </w:r>
      <w:r w:rsidRPr="00D72C70">
        <w:rPr>
          <w:lang w:val="en-US"/>
        </w:rPr>
        <w:t xml:space="preserve"> prioriti</w:t>
      </w:r>
      <w:r w:rsidR="008C6ED4" w:rsidRPr="00D72C70">
        <w:rPr>
          <w:lang w:val="en-US"/>
        </w:rPr>
        <w:t>ze between</w:t>
      </w:r>
      <w:r w:rsidR="00D72C70">
        <w:rPr>
          <w:lang w:val="en-US"/>
        </w:rPr>
        <w:t xml:space="preserve"> s</w:t>
      </w:r>
      <w:r w:rsidR="008C6ED4" w:rsidRPr="00D72C70">
        <w:rPr>
          <w:lang w:val="en-US"/>
        </w:rPr>
        <w:t xml:space="preserve">emi-static UL </w:t>
      </w:r>
      <w:r w:rsidR="002473EA" w:rsidRPr="00D72C70">
        <w:rPr>
          <w:lang w:val="en-US"/>
        </w:rPr>
        <w:t xml:space="preserve">and </w:t>
      </w:r>
      <w:r w:rsidR="00D72C70">
        <w:rPr>
          <w:lang w:val="en-US"/>
        </w:rPr>
        <w:t>s</w:t>
      </w:r>
      <w:r w:rsidR="00D72C70" w:rsidRPr="00D72C70">
        <w:rPr>
          <w:lang w:val="en-US"/>
        </w:rPr>
        <w:t>emi-static</w:t>
      </w:r>
      <w:r w:rsidR="00C91CCC">
        <w:rPr>
          <w:lang w:val="en-US"/>
        </w:rPr>
        <w:t xml:space="preserve"> or dynamic</w:t>
      </w:r>
      <w:r w:rsidR="00D72C70" w:rsidRPr="00D72C70">
        <w:rPr>
          <w:lang w:val="en-US"/>
        </w:rPr>
        <w:t xml:space="preserve"> </w:t>
      </w:r>
      <w:r w:rsidR="002473EA" w:rsidRPr="00D72C70">
        <w:rPr>
          <w:lang w:val="en-US"/>
        </w:rPr>
        <w:t>DL</w:t>
      </w:r>
      <w:r w:rsidR="00A74CBA">
        <w:rPr>
          <w:lang w:val="en-US"/>
        </w:rPr>
        <w:t xml:space="preserve">. </w:t>
      </w:r>
    </w:p>
    <w:p w14:paraId="3D22691D" w14:textId="332DFDBB" w:rsidR="00FF3800" w:rsidRPr="00D72C70" w:rsidRDefault="00216372" w:rsidP="008B0A81">
      <w:pPr>
        <w:shd w:val="clear" w:color="auto" w:fill="FFFFFF"/>
        <w:jc w:val="both"/>
        <w:rPr>
          <w:lang w:val="en-US"/>
        </w:rPr>
      </w:pPr>
      <w:r w:rsidRPr="00D72C70">
        <w:rPr>
          <w:lang w:val="en-US"/>
        </w:rPr>
        <w:t xml:space="preserve">Also, </w:t>
      </w:r>
      <w:r w:rsidR="00F006F1" w:rsidRPr="00D72C70">
        <w:rPr>
          <w:lang w:val="en-US"/>
        </w:rPr>
        <w:t>depending on whether SB</w:t>
      </w:r>
      <w:r w:rsidR="001946CE" w:rsidRPr="00D72C70">
        <w:rPr>
          <w:lang w:val="en-US"/>
        </w:rPr>
        <w:t>FD operation in SSB symbols (and/or Type 0 CSS symbols) is allowed</w:t>
      </w:r>
      <w:r w:rsidR="00FC6587" w:rsidRPr="00D72C70">
        <w:rPr>
          <w:lang w:val="en-US"/>
        </w:rPr>
        <w:t xml:space="preserve">, new prioritization rules </w:t>
      </w:r>
      <w:r w:rsidR="006E5A82" w:rsidRPr="00D72C70">
        <w:rPr>
          <w:lang w:val="en-US"/>
        </w:rPr>
        <w:t xml:space="preserve">may be needed to determine </w:t>
      </w:r>
      <w:r w:rsidR="00494B6C" w:rsidRPr="00D72C70">
        <w:rPr>
          <w:lang w:val="en-US"/>
        </w:rPr>
        <w:t xml:space="preserve">when a UE </w:t>
      </w:r>
      <w:r w:rsidR="008C39B0" w:rsidRPr="00D72C70">
        <w:rPr>
          <w:lang w:val="en-US"/>
        </w:rPr>
        <w:t xml:space="preserve">is allowed to transmit in UL </w:t>
      </w:r>
      <w:r w:rsidR="002D0CEA" w:rsidRPr="00D72C70">
        <w:rPr>
          <w:lang w:val="en-US"/>
        </w:rPr>
        <w:t>during SSB</w:t>
      </w:r>
      <w:r w:rsidR="008B0A81">
        <w:rPr>
          <w:lang w:val="en-US"/>
        </w:rPr>
        <w:t xml:space="preserve"> and</w:t>
      </w:r>
      <w:r w:rsidR="002D0CEA" w:rsidRPr="00D72C70">
        <w:rPr>
          <w:lang w:val="en-US"/>
        </w:rPr>
        <w:t>/</w:t>
      </w:r>
      <w:r w:rsidR="008B0A81">
        <w:rPr>
          <w:lang w:val="en-US"/>
        </w:rPr>
        <w:t xml:space="preserve">or </w:t>
      </w:r>
      <w:r w:rsidR="002D0CEA" w:rsidRPr="00D72C70">
        <w:rPr>
          <w:lang w:val="en-US"/>
        </w:rPr>
        <w:t>Type 0 CSS symbols. Therefore</w:t>
      </w:r>
      <w:r w:rsidR="008B0A81">
        <w:rPr>
          <w:lang w:val="en-US"/>
        </w:rPr>
        <w:t>,</w:t>
      </w:r>
      <w:r w:rsidR="002D0CEA" w:rsidRPr="00D72C70">
        <w:rPr>
          <w:lang w:val="en-US"/>
        </w:rPr>
        <w:t xml:space="preserve"> we propose:</w:t>
      </w:r>
    </w:p>
    <w:p w14:paraId="6F37D15B" w14:textId="6E612DF6" w:rsidR="00E777DE" w:rsidRPr="008B0A81" w:rsidRDefault="002D4A98" w:rsidP="00A41A50">
      <w:pPr>
        <w:pStyle w:val="Proposal"/>
        <w:spacing w:before="0" w:after="0"/>
      </w:pPr>
      <w:bookmarkStart w:id="1259" w:name="_Toc142394850"/>
      <w:bookmarkStart w:id="1260" w:name="_Toc142394942"/>
      <w:bookmarkStart w:id="1261" w:name="_Toc142397692"/>
      <w:bookmarkStart w:id="1262" w:name="_Toc142397790"/>
      <w:bookmarkStart w:id="1263" w:name="_Toc142397997"/>
      <w:bookmarkStart w:id="1264" w:name="_Toc142399724"/>
      <w:bookmarkStart w:id="1265" w:name="_Toc142400810"/>
      <w:bookmarkStart w:id="1266" w:name="_Toc142400908"/>
      <w:bookmarkStart w:id="1267" w:name="_Toc142401006"/>
      <w:bookmarkStart w:id="1268" w:name="_Toc142401116"/>
      <w:bookmarkStart w:id="1269" w:name="_Toc142401289"/>
      <w:bookmarkStart w:id="1270" w:name="_Toc142466630"/>
      <w:bookmarkStart w:id="1271" w:name="_Toc142481250"/>
      <w:bookmarkStart w:id="1272" w:name="_Toc142482064"/>
      <w:r>
        <w:t>F</w:t>
      </w:r>
      <w:r w:rsidRPr="008B0A81">
        <w:t xml:space="preserve">or </w:t>
      </w:r>
      <w:r w:rsidR="00A44813" w:rsidRPr="008B0A81">
        <w:t>time d</w:t>
      </w:r>
      <w:r w:rsidR="005352E9" w:rsidRPr="008B0A81">
        <w:t xml:space="preserve">omain conflict of </w:t>
      </w:r>
      <w:r w:rsidR="00A44813" w:rsidRPr="008B0A81">
        <w:t xml:space="preserve">SBFD aware </w:t>
      </w:r>
      <w:r w:rsidR="005352E9" w:rsidRPr="008B0A81">
        <w:t xml:space="preserve">UE’s UL and DL operation in the same SBFD </w:t>
      </w:r>
      <w:r w:rsidR="00D72C70" w:rsidRPr="008B0A81">
        <w:t xml:space="preserve">symbol, </w:t>
      </w:r>
      <w:r w:rsidR="00797BFA">
        <w:t xml:space="preserve">at least </w:t>
      </w:r>
      <w:r w:rsidR="00A44813" w:rsidRPr="008B0A81">
        <w:t>study</w:t>
      </w:r>
      <w:r w:rsidR="00CB4605" w:rsidRPr="008B0A81">
        <w:rPr>
          <w:rFonts w:ascii="Times" w:eastAsia="Batang" w:hAnsi="Times"/>
          <w:color w:val="44546A" w:themeColor="text2"/>
          <w:kern w:val="24"/>
        </w:rPr>
        <w:t xml:space="preserve"> </w:t>
      </w:r>
      <w:r w:rsidR="00CB4605" w:rsidRPr="008B0A81">
        <w:t xml:space="preserve">whether/how to avoid/handle </w:t>
      </w:r>
      <w:r w:rsidR="00D72C70" w:rsidRPr="008B0A81">
        <w:t>the following</w:t>
      </w:r>
      <w:r w:rsidR="00CB4605" w:rsidRPr="008B0A81">
        <w:t xml:space="preserve"> collision cases</w:t>
      </w:r>
      <w:r w:rsidR="009C395E">
        <w:t>:</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FA7BF51" w14:textId="649B2507" w:rsidR="00517522" w:rsidRPr="00D72C70" w:rsidRDefault="00D341C7" w:rsidP="00A41A50">
      <w:pPr>
        <w:pStyle w:val="Proposal"/>
        <w:numPr>
          <w:ilvl w:val="0"/>
          <w:numId w:val="156"/>
        </w:numPr>
        <w:spacing w:before="0" w:after="0"/>
      </w:pPr>
      <w:bookmarkStart w:id="1273" w:name="_Hlk131516162"/>
      <w:bookmarkStart w:id="1274" w:name="_Toc142397693"/>
      <w:bookmarkStart w:id="1275" w:name="_Toc142397791"/>
      <w:bookmarkStart w:id="1276" w:name="_Toc142397998"/>
      <w:bookmarkStart w:id="1277" w:name="_Toc142399725"/>
      <w:bookmarkStart w:id="1278" w:name="_Toc142400811"/>
      <w:bookmarkStart w:id="1279" w:name="_Toc142400909"/>
      <w:bookmarkStart w:id="1280" w:name="_Toc142401007"/>
      <w:bookmarkStart w:id="1281" w:name="_Toc142401117"/>
      <w:bookmarkStart w:id="1282" w:name="_Toc142401290"/>
      <w:bookmarkStart w:id="1283" w:name="_Toc142466631"/>
      <w:bookmarkStart w:id="1284" w:name="_Toc142481251"/>
      <w:bookmarkStart w:id="1285" w:name="_Toc142482065"/>
      <w:r w:rsidRPr="00D72C70">
        <w:t>Semi-static UL (including valid RO) vs</w:t>
      </w:r>
      <w:r w:rsidR="00BA5DF5" w:rsidRPr="00D72C70">
        <w:rPr>
          <w:b w:val="0"/>
        </w:rPr>
        <w:t>.</w:t>
      </w:r>
      <w:r w:rsidRPr="00D72C70">
        <w:rPr>
          <w:b w:val="0"/>
        </w:rPr>
        <w:t xml:space="preserve"> semi-static </w:t>
      </w:r>
      <w:r w:rsidR="0006313D">
        <w:rPr>
          <w:b w:val="0"/>
        </w:rPr>
        <w:t xml:space="preserve">or dynamic </w:t>
      </w:r>
      <w:r w:rsidRPr="00D72C70">
        <w:rPr>
          <w:b w:val="0"/>
        </w:rPr>
        <w:t>DL</w:t>
      </w:r>
      <w:r w:rsidR="00BC74B5" w:rsidRPr="00D72C70">
        <w:rPr>
          <w:b w:val="0"/>
        </w:rPr>
        <w:t xml:space="preserve"> </w:t>
      </w:r>
      <w:bookmarkEnd w:id="1273"/>
      <w:r w:rsidR="00BC74B5" w:rsidRPr="00D72C70">
        <w:rPr>
          <w:b w:val="0"/>
        </w:rPr>
        <w:t xml:space="preserve">(including </w:t>
      </w:r>
      <w:r w:rsidR="00737570" w:rsidRPr="00D72C70">
        <w:rPr>
          <w:b w:val="0"/>
        </w:rPr>
        <w:t>SSB/Type 0 CSS</w:t>
      </w:r>
      <w:r w:rsidR="00C91CCC">
        <w:rPr>
          <w:b w:val="0"/>
        </w:rPr>
        <w:t>, if allowed</w:t>
      </w:r>
      <w:r w:rsidR="00737570" w:rsidRPr="00D72C70">
        <w:rPr>
          <w:b w:val="0"/>
        </w:rPr>
        <w:t>)</w:t>
      </w:r>
      <w:bookmarkEnd w:id="1274"/>
      <w:bookmarkEnd w:id="1275"/>
      <w:bookmarkEnd w:id="1276"/>
      <w:bookmarkEnd w:id="1277"/>
      <w:bookmarkEnd w:id="1278"/>
      <w:bookmarkEnd w:id="1279"/>
      <w:bookmarkEnd w:id="1280"/>
      <w:bookmarkEnd w:id="1281"/>
      <w:bookmarkEnd w:id="1282"/>
      <w:bookmarkEnd w:id="1283"/>
      <w:bookmarkEnd w:id="1284"/>
      <w:bookmarkEnd w:id="1285"/>
    </w:p>
    <w:p w14:paraId="28D3F527" w14:textId="703D8981" w:rsidR="0084424F" w:rsidRPr="0064227C" w:rsidRDefault="00737570" w:rsidP="00A41A50">
      <w:pPr>
        <w:pStyle w:val="Proposal"/>
        <w:numPr>
          <w:ilvl w:val="0"/>
          <w:numId w:val="155"/>
        </w:numPr>
        <w:spacing w:before="0" w:after="0"/>
      </w:pPr>
      <w:bookmarkStart w:id="1286" w:name="_Toc142397694"/>
      <w:bookmarkStart w:id="1287" w:name="_Toc142397792"/>
      <w:bookmarkStart w:id="1288" w:name="_Toc142397999"/>
      <w:bookmarkStart w:id="1289" w:name="_Toc142399726"/>
      <w:bookmarkStart w:id="1290" w:name="_Toc142400812"/>
      <w:bookmarkStart w:id="1291" w:name="_Toc142400910"/>
      <w:bookmarkStart w:id="1292" w:name="_Toc142401008"/>
      <w:bookmarkStart w:id="1293" w:name="_Toc142401118"/>
      <w:bookmarkStart w:id="1294" w:name="_Toc142401291"/>
      <w:bookmarkStart w:id="1295" w:name="_Toc142466632"/>
      <w:bookmarkStart w:id="1296" w:name="_Toc142481252"/>
      <w:bookmarkStart w:id="1297" w:name="_Toc142482066"/>
      <w:bookmarkStart w:id="1298" w:name="_Hlk118714984"/>
      <w:r w:rsidRPr="00D72C70">
        <w:t>Dynamic</w:t>
      </w:r>
      <w:r w:rsidR="00C56F48" w:rsidRPr="00D72C70">
        <w:rPr>
          <w:b w:val="0"/>
        </w:rPr>
        <w:t xml:space="preserve"> </w:t>
      </w:r>
      <w:r w:rsidR="00BC4B18" w:rsidRPr="00D72C70">
        <w:rPr>
          <w:b w:val="0"/>
        </w:rPr>
        <w:t xml:space="preserve">UL </w:t>
      </w:r>
      <w:r w:rsidR="00CF6F1D" w:rsidRPr="00D72C70">
        <w:rPr>
          <w:b w:val="0"/>
        </w:rPr>
        <w:t>vs.</w:t>
      </w:r>
      <w:r w:rsidR="00BC4B18" w:rsidRPr="00D72C70">
        <w:rPr>
          <w:b w:val="0"/>
        </w:rPr>
        <w:t xml:space="preserve"> </w:t>
      </w:r>
      <w:r w:rsidR="004631A3" w:rsidRPr="00D72C70">
        <w:rPr>
          <w:b w:val="0"/>
        </w:rPr>
        <w:t>SSB</w:t>
      </w:r>
      <w:r w:rsidR="00CF6F1D" w:rsidRPr="00D72C70">
        <w:rPr>
          <w:b w:val="0"/>
        </w:rPr>
        <w:t>/</w:t>
      </w:r>
      <w:r w:rsidR="004631A3" w:rsidRPr="00D72C70">
        <w:rPr>
          <w:b w:val="0"/>
        </w:rPr>
        <w:t>Type</w:t>
      </w:r>
      <w:r w:rsidR="00CF6F1D" w:rsidRPr="00D72C70">
        <w:rPr>
          <w:b w:val="0"/>
        </w:rPr>
        <w:t xml:space="preserve"> 0 CSS</w:t>
      </w:r>
      <w:r w:rsidR="00D27CA1">
        <w:rPr>
          <w:b w:val="0"/>
        </w:rPr>
        <w:t xml:space="preserve"> (if allowed)</w:t>
      </w:r>
      <w:bookmarkEnd w:id="1286"/>
      <w:bookmarkEnd w:id="1287"/>
      <w:bookmarkEnd w:id="1288"/>
      <w:bookmarkEnd w:id="1289"/>
      <w:bookmarkEnd w:id="1290"/>
      <w:bookmarkEnd w:id="1291"/>
      <w:bookmarkEnd w:id="1292"/>
      <w:bookmarkEnd w:id="1293"/>
      <w:bookmarkEnd w:id="1294"/>
      <w:bookmarkEnd w:id="1295"/>
      <w:bookmarkEnd w:id="1296"/>
      <w:bookmarkEnd w:id="1297"/>
    </w:p>
    <w:p w14:paraId="0470BCE6" w14:textId="77777777" w:rsidR="00750824" w:rsidRDefault="00750824" w:rsidP="003C57B1">
      <w:pPr>
        <w:shd w:val="clear" w:color="auto" w:fill="FFFFFF"/>
        <w:spacing w:after="0"/>
        <w:jc w:val="both"/>
        <w:rPr>
          <w:lang w:val="en-US"/>
        </w:rPr>
      </w:pPr>
    </w:p>
    <w:p w14:paraId="2E0532A7" w14:textId="41A224F6" w:rsidR="00C93256" w:rsidRDefault="00C61972" w:rsidP="003C57B1">
      <w:pPr>
        <w:shd w:val="clear" w:color="auto" w:fill="FFFFFF"/>
        <w:spacing w:after="0"/>
        <w:jc w:val="both"/>
        <w:rPr>
          <w:lang w:val="en-US"/>
        </w:rPr>
      </w:pPr>
      <w:r>
        <w:rPr>
          <w:lang w:val="en-US"/>
        </w:rPr>
        <w:t xml:space="preserve">Additionally, </w:t>
      </w:r>
      <w:r w:rsidR="007E5BB4">
        <w:rPr>
          <w:lang w:val="en-US"/>
        </w:rPr>
        <w:t>f</w:t>
      </w:r>
      <w:r w:rsidR="007E5BB4" w:rsidRPr="007E5BB4">
        <w:rPr>
          <w:lang w:val="en-US"/>
        </w:rPr>
        <w:t xml:space="preserve">or the </w:t>
      </w:r>
      <w:r w:rsidR="007E5BB4">
        <w:rPr>
          <w:lang w:val="en-US"/>
        </w:rPr>
        <w:t>DL</w:t>
      </w:r>
      <w:r w:rsidR="007E5BB4" w:rsidRPr="007E5BB4">
        <w:rPr>
          <w:lang w:val="en-US"/>
        </w:rPr>
        <w:t xml:space="preserve"> vs. UL transmissions collision handling, it is straightforward for UE to determine whether there is collision or not by determining whether there is at least one overlapping symbol between the two transmissions. This is not always the case for determining whether DL and UL transmissions are collided or not in SBFD operation</w:t>
      </w:r>
      <w:r w:rsidR="0030157C">
        <w:rPr>
          <w:lang w:val="en-US"/>
        </w:rPr>
        <w:t xml:space="preserve">, given </w:t>
      </w:r>
      <w:r w:rsidR="007E5BB4" w:rsidRPr="007E5BB4">
        <w:rPr>
          <w:lang w:val="en-US"/>
        </w:rPr>
        <w:t>that UE needs time for switching from reception to transmission</w:t>
      </w:r>
      <w:r w:rsidR="0030157C">
        <w:rPr>
          <w:lang w:val="en-US"/>
        </w:rPr>
        <w:t>.</w:t>
      </w:r>
      <w:r w:rsidR="007E5BB4" w:rsidRPr="007E5BB4">
        <w:rPr>
          <w:lang w:val="en-US"/>
        </w:rPr>
        <w:t xml:space="preserve"> </w:t>
      </w:r>
      <w:r w:rsidR="0030157C">
        <w:rPr>
          <w:lang w:val="en-US"/>
        </w:rPr>
        <w:t>In SBFD operation,</w:t>
      </w:r>
      <w:r w:rsidR="007E5BB4" w:rsidRPr="007E5BB4">
        <w:rPr>
          <w:lang w:val="en-US"/>
        </w:rPr>
        <w:t xml:space="preserve"> even if </w:t>
      </w:r>
      <w:r w:rsidR="00C93256">
        <w:rPr>
          <w:lang w:val="en-US"/>
        </w:rPr>
        <w:t xml:space="preserve">the symbols used for </w:t>
      </w:r>
      <w:r w:rsidR="007E5BB4" w:rsidRPr="007E5BB4">
        <w:rPr>
          <w:lang w:val="en-US"/>
        </w:rPr>
        <w:t>DL</w:t>
      </w:r>
      <w:r w:rsidR="00C93256">
        <w:rPr>
          <w:lang w:val="en-US"/>
        </w:rPr>
        <w:t xml:space="preserve"> receptions</w:t>
      </w:r>
      <w:r w:rsidR="007E5BB4" w:rsidRPr="007E5BB4">
        <w:rPr>
          <w:lang w:val="en-US"/>
        </w:rPr>
        <w:t xml:space="preserve"> and UL transmissions are not </w:t>
      </w:r>
      <w:r w:rsidR="00C93256">
        <w:rPr>
          <w:lang w:val="en-US"/>
        </w:rPr>
        <w:t>overlapping</w:t>
      </w:r>
      <w:r w:rsidR="007E5BB4" w:rsidRPr="007E5BB4">
        <w:rPr>
          <w:lang w:val="en-US"/>
        </w:rPr>
        <w:t xml:space="preserve">, </w:t>
      </w:r>
      <w:r w:rsidR="00D5592A">
        <w:rPr>
          <w:lang w:val="en-US"/>
        </w:rPr>
        <w:t>DL and UL transmissions are collided if there is not enough time for the UE Rx-Tx switching.</w:t>
      </w:r>
    </w:p>
    <w:p w14:paraId="39124CC3" w14:textId="6634D1AA" w:rsidR="007C414F" w:rsidRPr="00672857" w:rsidRDefault="00CF7DDE">
      <w:pPr>
        <w:pStyle w:val="Observation"/>
      </w:pPr>
      <w:bookmarkStart w:id="1299" w:name="_Toc142397695"/>
      <w:bookmarkStart w:id="1300" w:name="_Toc142397793"/>
      <w:bookmarkStart w:id="1301" w:name="_Toc142398000"/>
      <w:bookmarkStart w:id="1302" w:name="_Toc142399727"/>
      <w:bookmarkStart w:id="1303" w:name="_Toc142400813"/>
      <w:bookmarkStart w:id="1304" w:name="_Toc142400911"/>
      <w:bookmarkStart w:id="1305" w:name="_Toc142401009"/>
      <w:bookmarkStart w:id="1306" w:name="_Toc142401119"/>
      <w:bookmarkStart w:id="1307" w:name="_Toc142401292"/>
      <w:bookmarkStart w:id="1308" w:name="_Toc142466633"/>
      <w:bookmarkStart w:id="1309" w:name="_Toc142394851"/>
      <w:bookmarkStart w:id="1310" w:name="_Toc142394943"/>
      <w:bookmarkStart w:id="1311" w:name="_Toc142397696"/>
      <w:bookmarkStart w:id="1312" w:name="_Toc142397794"/>
      <w:bookmarkStart w:id="1313" w:name="_Toc142398001"/>
      <w:bookmarkStart w:id="1314" w:name="_Toc142399728"/>
      <w:bookmarkStart w:id="1315" w:name="_Toc142400814"/>
      <w:bookmarkStart w:id="1316" w:name="_Toc142400912"/>
      <w:bookmarkStart w:id="1317" w:name="_Toc142401010"/>
      <w:bookmarkStart w:id="1318" w:name="_Toc142401120"/>
      <w:bookmarkStart w:id="1319" w:name="_Toc142401293"/>
      <w:bookmarkStart w:id="1320" w:name="_Toc142466634"/>
      <w:bookmarkStart w:id="1321" w:name="_Toc142481253"/>
      <w:bookmarkStart w:id="1322" w:name="_Toc142482067"/>
      <w:bookmarkEnd w:id="1299"/>
      <w:bookmarkEnd w:id="1300"/>
      <w:bookmarkEnd w:id="1301"/>
      <w:bookmarkEnd w:id="1302"/>
      <w:bookmarkEnd w:id="1303"/>
      <w:bookmarkEnd w:id="1304"/>
      <w:bookmarkEnd w:id="1305"/>
      <w:bookmarkEnd w:id="1306"/>
      <w:bookmarkEnd w:id="1307"/>
      <w:bookmarkEnd w:id="1308"/>
      <w:r w:rsidRPr="00672857">
        <w:t xml:space="preserve">In SBFD operation, new collision cases arise </w:t>
      </w:r>
      <w:r w:rsidR="00003B78" w:rsidRPr="00672857">
        <w:t>i</w:t>
      </w:r>
      <w:r w:rsidR="00E4590D" w:rsidRPr="00672857">
        <w:t>f the time between DL reception and UL transmission is less than the time required for Rx to Tx switch</w:t>
      </w:r>
      <w:r w:rsidR="00135992" w:rsidRPr="00672857">
        <w:t>ing.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73611D6" w14:textId="1A6A5B29" w:rsidR="00C71FA9" w:rsidRDefault="00C71FA9">
      <w:pPr>
        <w:pStyle w:val="Proposal"/>
      </w:pPr>
      <w:bookmarkStart w:id="1323" w:name="_Toc142394852"/>
      <w:bookmarkStart w:id="1324" w:name="_Toc142394944"/>
      <w:bookmarkStart w:id="1325" w:name="_Toc142397697"/>
      <w:bookmarkStart w:id="1326" w:name="_Toc142397795"/>
      <w:bookmarkStart w:id="1327" w:name="_Toc142398002"/>
      <w:bookmarkStart w:id="1328" w:name="_Toc142399729"/>
      <w:bookmarkStart w:id="1329" w:name="_Toc142400815"/>
      <w:bookmarkStart w:id="1330" w:name="_Toc142400913"/>
      <w:bookmarkStart w:id="1331" w:name="_Toc142401011"/>
      <w:bookmarkStart w:id="1332" w:name="_Toc142401121"/>
      <w:bookmarkStart w:id="1333" w:name="_Toc142401294"/>
      <w:bookmarkStart w:id="1334" w:name="_Toc142466635"/>
      <w:bookmarkStart w:id="1335" w:name="_Toc142481254"/>
      <w:bookmarkStart w:id="1336" w:name="_Toc142482068"/>
      <w:r w:rsidRPr="00800F40">
        <w:t>:</w:t>
      </w:r>
      <w:r w:rsidRPr="008B0A81">
        <w:t xml:space="preserve"> </w:t>
      </w:r>
      <w:r>
        <w:t>F</w:t>
      </w:r>
      <w:r w:rsidRPr="008B0A81">
        <w:t xml:space="preserve">or </w:t>
      </w:r>
      <w:r>
        <w:t>SBFD aware UE’s, study how to handle collision cases between DL and UL when the time between DL receptions and UL transmissions is less than the Rx-Tx switching time</w:t>
      </w:r>
      <w:bookmarkEnd w:id="1323"/>
      <w:bookmarkEnd w:id="1324"/>
      <w:bookmarkEnd w:id="1325"/>
      <w:bookmarkEnd w:id="1326"/>
      <w:bookmarkEnd w:id="1327"/>
      <w:bookmarkEnd w:id="1328"/>
      <w:bookmarkEnd w:id="1329"/>
      <w:bookmarkEnd w:id="1330"/>
      <w:bookmarkEnd w:id="1331"/>
      <w:bookmarkEnd w:id="1332"/>
      <w:bookmarkEnd w:id="1333"/>
      <w:bookmarkEnd w:id="1334"/>
      <w:r w:rsidR="00D3439D">
        <w:t>.</w:t>
      </w:r>
      <w:bookmarkEnd w:id="1335"/>
      <w:bookmarkEnd w:id="1336"/>
    </w:p>
    <w:p w14:paraId="0AD5CAA1" w14:textId="77777777" w:rsidR="00C93256" w:rsidRDefault="00C93256" w:rsidP="003C57B1">
      <w:pPr>
        <w:shd w:val="clear" w:color="auto" w:fill="FFFFFF"/>
        <w:spacing w:after="0"/>
        <w:jc w:val="both"/>
        <w:rPr>
          <w:lang w:val="en-US"/>
        </w:rPr>
      </w:pPr>
    </w:p>
    <w:p w14:paraId="75E8EF95" w14:textId="77777777" w:rsidR="00584ABA" w:rsidRDefault="002A00E1" w:rsidP="003C57B1">
      <w:pPr>
        <w:shd w:val="clear" w:color="auto" w:fill="FFFFFF"/>
        <w:spacing w:after="0"/>
        <w:jc w:val="both"/>
        <w:rPr>
          <w:lang w:val="en-US"/>
        </w:rPr>
      </w:pPr>
      <w:r>
        <w:rPr>
          <w:lang w:val="en-US"/>
        </w:rPr>
        <w:t xml:space="preserve">Finally, </w:t>
      </w:r>
      <w:r w:rsidR="00E82A83">
        <w:rPr>
          <w:lang w:val="en-US"/>
        </w:rPr>
        <w:t xml:space="preserve">Rel-16 </w:t>
      </w:r>
      <w:r w:rsidR="00D8325F">
        <w:rPr>
          <w:lang w:val="en-US"/>
        </w:rPr>
        <w:t xml:space="preserve">introduced </w:t>
      </w:r>
      <w:r w:rsidR="00E82A83">
        <w:rPr>
          <w:lang w:val="en-US"/>
        </w:rPr>
        <w:t>different priorities namely high priority (HP) and low priority (LP)</w:t>
      </w:r>
      <w:r w:rsidR="00316757">
        <w:rPr>
          <w:lang w:val="en-US"/>
        </w:rPr>
        <w:t xml:space="preserve"> to handle the collisions </w:t>
      </w:r>
      <w:r w:rsidR="00F31AB9">
        <w:rPr>
          <w:lang w:val="en-US"/>
        </w:rPr>
        <w:t>in the UL</w:t>
      </w:r>
      <w:r w:rsidR="0060691B">
        <w:rPr>
          <w:lang w:val="en-US"/>
        </w:rPr>
        <w:t xml:space="preserve">. </w:t>
      </w:r>
      <w:r w:rsidR="00A72361">
        <w:rPr>
          <w:lang w:val="en-US"/>
        </w:rPr>
        <w:t xml:space="preserve">It was not necessary to </w:t>
      </w:r>
      <w:r w:rsidR="00EE3CCD">
        <w:rPr>
          <w:lang w:val="en-US"/>
        </w:rPr>
        <w:t>configure priority index for the</w:t>
      </w:r>
      <w:r w:rsidR="00CC738B">
        <w:rPr>
          <w:lang w:val="en-US"/>
        </w:rPr>
        <w:t xml:space="preserve"> dynamic</w:t>
      </w:r>
      <w:r w:rsidR="00EE3CCD">
        <w:rPr>
          <w:lang w:val="en-US"/>
        </w:rPr>
        <w:t xml:space="preserve"> PDSCH because DL vs UL collision was </w:t>
      </w:r>
      <w:r w:rsidR="00B43F68">
        <w:rPr>
          <w:lang w:val="en-US"/>
        </w:rPr>
        <w:t xml:space="preserve">not </w:t>
      </w:r>
      <w:r w:rsidR="00EE3CCD">
        <w:rPr>
          <w:lang w:val="en-US"/>
        </w:rPr>
        <w:t xml:space="preserve">allowed. </w:t>
      </w:r>
      <w:r w:rsidR="00CA29A6">
        <w:rPr>
          <w:lang w:val="en-US"/>
        </w:rPr>
        <w:t xml:space="preserve">Even though SBFD is a feature that </w:t>
      </w:r>
      <w:r w:rsidR="00D43D8B">
        <w:rPr>
          <w:lang w:val="en-US"/>
        </w:rPr>
        <w:t>aims to enhance uplink performance</w:t>
      </w:r>
      <w:r w:rsidR="006B39E7">
        <w:rPr>
          <w:lang w:val="en-US"/>
        </w:rPr>
        <w:t xml:space="preserve"> and latency</w:t>
      </w:r>
      <w:r w:rsidR="00D43D8B">
        <w:rPr>
          <w:lang w:val="en-US"/>
        </w:rPr>
        <w:t>,</w:t>
      </w:r>
      <w:r w:rsidR="00A02BCB">
        <w:rPr>
          <w:lang w:val="en-US"/>
        </w:rPr>
        <w:t xml:space="preserve"> </w:t>
      </w:r>
      <w:r w:rsidR="002A6484">
        <w:rPr>
          <w:lang w:val="en-US"/>
        </w:rPr>
        <w:t>i.e.,</w:t>
      </w:r>
      <w:r w:rsidR="00A02BCB">
        <w:rPr>
          <w:lang w:val="en-US"/>
        </w:rPr>
        <w:t xml:space="preserve"> it is expected that UL transmissions are prioritize</w:t>
      </w:r>
      <w:r w:rsidR="002A6484">
        <w:rPr>
          <w:lang w:val="en-US"/>
        </w:rPr>
        <w:t xml:space="preserve">d, there might be scenarios in which </w:t>
      </w:r>
      <w:r w:rsidR="009B1D31">
        <w:rPr>
          <w:lang w:val="en-US"/>
        </w:rPr>
        <w:t xml:space="preserve">the network </w:t>
      </w:r>
      <w:r w:rsidR="00043628">
        <w:rPr>
          <w:lang w:val="en-US"/>
        </w:rPr>
        <w:t>wants to prioritize</w:t>
      </w:r>
      <w:r w:rsidR="0007010D">
        <w:rPr>
          <w:lang w:val="en-US"/>
        </w:rPr>
        <w:t xml:space="preserve"> the DL</w:t>
      </w:r>
      <w:r w:rsidR="00EF6A3A">
        <w:rPr>
          <w:lang w:val="en-US"/>
        </w:rPr>
        <w:t xml:space="preserve"> or drop</w:t>
      </w:r>
      <w:r w:rsidR="00EF6A3A" w:rsidDel="008F2638">
        <w:rPr>
          <w:lang w:val="en-US"/>
        </w:rPr>
        <w:t xml:space="preserve"> </w:t>
      </w:r>
      <w:r w:rsidR="00EF6A3A">
        <w:rPr>
          <w:lang w:val="en-US"/>
        </w:rPr>
        <w:t>part of the DL</w:t>
      </w:r>
      <w:r w:rsidR="0007010D">
        <w:rPr>
          <w:lang w:val="en-US"/>
        </w:rPr>
        <w:t>.</w:t>
      </w:r>
      <w:r w:rsidR="00EF6A3A">
        <w:rPr>
          <w:lang w:val="en-US"/>
        </w:rPr>
        <w:t xml:space="preserve"> </w:t>
      </w:r>
    </w:p>
    <w:p w14:paraId="32951941" w14:textId="77777777" w:rsidR="00584ABA" w:rsidRDefault="00584ABA" w:rsidP="003C57B1">
      <w:pPr>
        <w:shd w:val="clear" w:color="auto" w:fill="FFFFFF"/>
        <w:spacing w:after="0"/>
        <w:jc w:val="both"/>
        <w:rPr>
          <w:lang w:val="en-US"/>
        </w:rPr>
      </w:pPr>
    </w:p>
    <w:p w14:paraId="146FCBC9" w14:textId="2E2C1488" w:rsidR="00584ABA" w:rsidRDefault="009960F4" w:rsidP="0006646E">
      <w:pPr>
        <w:shd w:val="clear" w:color="auto" w:fill="FFFFFF"/>
        <w:spacing w:after="0"/>
        <w:jc w:val="both"/>
        <w:rPr>
          <w:lang w:val="en-US"/>
        </w:rPr>
      </w:pPr>
      <w:r>
        <w:rPr>
          <w:lang w:val="en-US"/>
        </w:rPr>
        <w:t xml:space="preserve">In our view there are different alternatives to handle </w:t>
      </w:r>
      <w:r w:rsidR="008E2A8A">
        <w:rPr>
          <w:lang w:val="en-US"/>
        </w:rPr>
        <w:t xml:space="preserve">the </w:t>
      </w:r>
      <w:r w:rsidR="006D64AF">
        <w:rPr>
          <w:lang w:val="en-US"/>
        </w:rPr>
        <w:t>s</w:t>
      </w:r>
      <w:r w:rsidR="006D64AF" w:rsidRPr="006D64AF">
        <w:rPr>
          <w:lang w:val="en-US"/>
        </w:rPr>
        <w:t>emi-static UL vs. semi-static or dynamic DL</w:t>
      </w:r>
      <w:r w:rsidR="001445DB">
        <w:rPr>
          <w:lang w:val="en-US"/>
        </w:rPr>
        <w:t xml:space="preserve"> collisions</w:t>
      </w:r>
      <w:r w:rsidR="008E2A8A">
        <w:rPr>
          <w:lang w:val="en-US"/>
        </w:rPr>
        <w:t xml:space="preserve">. </w:t>
      </w:r>
      <w:r w:rsidR="00213D6A">
        <w:rPr>
          <w:lang w:val="en-US"/>
        </w:rPr>
        <w:t>In case it is decided that UL transmissions are prioritize</w:t>
      </w:r>
      <w:r w:rsidR="00D140EF">
        <w:rPr>
          <w:lang w:val="en-US"/>
        </w:rPr>
        <w:t>d by default, it should be possible to the gNB to configure priority index for the dynamic PDSCH as well</w:t>
      </w:r>
      <w:r w:rsidR="00BA1D9C">
        <w:rPr>
          <w:lang w:val="en-US"/>
        </w:rPr>
        <w:t>, in case needed</w:t>
      </w:r>
      <w:r w:rsidR="00323D73">
        <w:rPr>
          <w:lang w:val="en-US"/>
        </w:rPr>
        <w:t>, as discussed above.</w:t>
      </w:r>
      <w:r w:rsidR="00BA1D9C">
        <w:rPr>
          <w:lang w:val="en-US"/>
        </w:rPr>
        <w:t xml:space="preserve"> </w:t>
      </w:r>
      <w:r w:rsidR="00F9310D">
        <w:rPr>
          <w:lang w:val="en-US"/>
        </w:rPr>
        <w:t>A</w:t>
      </w:r>
      <w:r w:rsidR="00BA1D9C">
        <w:rPr>
          <w:lang w:val="en-US"/>
        </w:rPr>
        <w:t xml:space="preserve"> second alternative </w:t>
      </w:r>
      <w:r w:rsidR="00900CF1">
        <w:rPr>
          <w:lang w:val="en-US"/>
        </w:rPr>
        <w:t>is</w:t>
      </w:r>
      <w:r w:rsidR="00BA1D9C">
        <w:rPr>
          <w:lang w:val="en-US"/>
        </w:rPr>
        <w:t xml:space="preserve"> </w:t>
      </w:r>
      <w:r w:rsidR="00FE319F">
        <w:rPr>
          <w:lang w:val="en-US"/>
        </w:rPr>
        <w:t xml:space="preserve">to allow </w:t>
      </w:r>
      <w:r w:rsidR="00C67CD9">
        <w:rPr>
          <w:lang w:val="en-US"/>
        </w:rPr>
        <w:t>the</w:t>
      </w:r>
      <w:r w:rsidR="00FE319F">
        <w:rPr>
          <w:lang w:val="en-US"/>
        </w:rPr>
        <w:t xml:space="preserve"> configuration of the priorities </w:t>
      </w:r>
      <w:r w:rsidR="005F61A5">
        <w:rPr>
          <w:lang w:val="en-US"/>
        </w:rPr>
        <w:t xml:space="preserve">for the transmission or reception of the different signals / channels. </w:t>
      </w:r>
      <w:r w:rsidR="003F3FB3">
        <w:rPr>
          <w:lang w:val="en-US"/>
        </w:rPr>
        <w:t xml:space="preserve">The priority can be configurable and valid during a </w:t>
      </w:r>
      <w:r w:rsidR="00C67CD9">
        <w:rPr>
          <w:lang w:val="en-US"/>
        </w:rPr>
        <w:t xml:space="preserve">determined </w:t>
      </w:r>
      <w:r w:rsidR="003F3FB3">
        <w:rPr>
          <w:lang w:val="en-US"/>
        </w:rPr>
        <w:t xml:space="preserve">period. Instead of configuring a priority for a given channel, the gNB can indicate a period under </w:t>
      </w:r>
      <w:r w:rsidR="00613FBB">
        <w:rPr>
          <w:lang w:val="en-US"/>
        </w:rPr>
        <w:t xml:space="preserve">which a </w:t>
      </w:r>
      <w:r w:rsidR="005C1E43">
        <w:rPr>
          <w:lang w:val="en-US"/>
        </w:rPr>
        <w:t xml:space="preserve">set of priorities apply. </w:t>
      </w:r>
      <w:r w:rsidR="00B8557D">
        <w:rPr>
          <w:lang w:val="en-US"/>
        </w:rPr>
        <w:t>In addition, always assuming a fixed</w:t>
      </w:r>
      <w:r w:rsidR="002B661D">
        <w:rPr>
          <w:lang w:val="en-US"/>
        </w:rPr>
        <w:t xml:space="preserve"> (default)</w:t>
      </w:r>
      <w:r w:rsidR="00B8557D">
        <w:rPr>
          <w:lang w:val="en-US"/>
        </w:rPr>
        <w:t xml:space="preserve"> set of collision handling rules (e.g., always prioritize UL transmissions) may be restrictive and </w:t>
      </w:r>
      <w:r w:rsidR="002B661D">
        <w:rPr>
          <w:lang w:val="en-US"/>
        </w:rPr>
        <w:t xml:space="preserve">suboptimal given that some critical DL channels (e.g., PDCCH) may be blocked. Therefore, RAN1 should also consider the possibility of reserving some slots, wherein a different set of collision handling rules is applied (e.g., DL channels are prioritized). This offers gNB the possibility to schedule DL channel with priority in those slots, if needed. </w:t>
      </w:r>
    </w:p>
    <w:p w14:paraId="129BC82F" w14:textId="644C7DD6" w:rsidR="00CD5803" w:rsidRDefault="00CD5803">
      <w:pPr>
        <w:pStyle w:val="Proposal"/>
      </w:pPr>
      <w:bookmarkStart w:id="1337" w:name="_Toc142397698"/>
      <w:bookmarkStart w:id="1338" w:name="_Toc142397796"/>
      <w:bookmarkStart w:id="1339" w:name="_Toc142398003"/>
      <w:bookmarkStart w:id="1340" w:name="_Toc142399730"/>
      <w:bookmarkStart w:id="1341" w:name="_Toc142400816"/>
      <w:bookmarkStart w:id="1342" w:name="_Toc142400914"/>
      <w:bookmarkStart w:id="1343" w:name="_Toc142401012"/>
      <w:bookmarkStart w:id="1344" w:name="_Toc142401122"/>
      <w:bookmarkStart w:id="1345" w:name="_Toc142401295"/>
      <w:bookmarkStart w:id="1346" w:name="_Toc142466636"/>
      <w:bookmarkStart w:id="1347" w:name="_Toc142394853"/>
      <w:bookmarkStart w:id="1348" w:name="_Toc142394945"/>
      <w:bookmarkStart w:id="1349" w:name="_Toc142397699"/>
      <w:bookmarkStart w:id="1350" w:name="_Toc142397797"/>
      <w:bookmarkStart w:id="1351" w:name="_Toc142398004"/>
      <w:bookmarkStart w:id="1352" w:name="_Toc142399731"/>
      <w:bookmarkStart w:id="1353" w:name="_Toc142400817"/>
      <w:bookmarkStart w:id="1354" w:name="_Toc142400915"/>
      <w:bookmarkStart w:id="1355" w:name="_Toc142401013"/>
      <w:bookmarkStart w:id="1356" w:name="_Toc142401123"/>
      <w:bookmarkStart w:id="1357" w:name="_Toc142401296"/>
      <w:bookmarkStart w:id="1358" w:name="_Toc142466637"/>
      <w:bookmarkStart w:id="1359" w:name="_Toc142481255"/>
      <w:bookmarkStart w:id="1360" w:name="_Toc142482069"/>
      <w:bookmarkEnd w:id="1337"/>
      <w:bookmarkEnd w:id="1338"/>
      <w:bookmarkEnd w:id="1339"/>
      <w:bookmarkEnd w:id="1340"/>
      <w:bookmarkEnd w:id="1341"/>
      <w:bookmarkEnd w:id="1342"/>
      <w:bookmarkEnd w:id="1343"/>
      <w:bookmarkEnd w:id="1344"/>
      <w:bookmarkEnd w:id="1345"/>
      <w:bookmarkEnd w:id="1346"/>
      <w:r>
        <w:t>F</w:t>
      </w:r>
      <w:r w:rsidRPr="008B0A81">
        <w:t xml:space="preserve">or </w:t>
      </w:r>
      <w:r>
        <w:t>SBFD aware UE’s</w:t>
      </w:r>
      <w:r w:rsidR="00623CED">
        <w:t>,</w:t>
      </w:r>
      <w:r>
        <w:t xml:space="preserve"> </w:t>
      </w:r>
      <w:r w:rsidR="000F2686">
        <w:t xml:space="preserve">study </w:t>
      </w:r>
      <w:r w:rsidR="00310CCB">
        <w:t xml:space="preserve">configuration of </w:t>
      </w:r>
      <w:r w:rsidR="00643145">
        <w:t>collision</w:t>
      </w:r>
      <w:r w:rsidR="000F2686">
        <w:t xml:space="preserve"> </w:t>
      </w:r>
      <w:r w:rsidR="00E17157">
        <w:t xml:space="preserve">handling </w:t>
      </w:r>
      <w:r w:rsidR="000F2686">
        <w:t xml:space="preserve">rules </w:t>
      </w:r>
      <w:r w:rsidR="00BD776E">
        <w:t>between</w:t>
      </w:r>
      <w:r w:rsidR="000F2686">
        <w:t xml:space="preserve"> </w:t>
      </w:r>
      <w:r w:rsidR="00613FBB">
        <w:t>DL</w:t>
      </w:r>
      <w:r w:rsidR="002B5075">
        <w:t xml:space="preserve"> receptions</w:t>
      </w:r>
      <w:r w:rsidR="00613FBB">
        <w:t xml:space="preserve"> and UL</w:t>
      </w:r>
      <w:r w:rsidR="002B5075">
        <w:t xml:space="preserve"> transmissions</w:t>
      </w:r>
      <w:r w:rsidR="00D3439D">
        <w:t>.</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73345C6" w14:textId="77777777" w:rsidR="00BA2AD8" w:rsidRDefault="00BA2AD8" w:rsidP="00BA2AD8">
      <w:pPr>
        <w:pStyle w:val="00BodyText"/>
      </w:pPr>
    </w:p>
    <w:p w14:paraId="069DE8F5" w14:textId="77777777" w:rsidR="00BA2AD8" w:rsidRPr="00BA2AD8" w:rsidRDefault="00BA2AD8" w:rsidP="00BA2AD8">
      <w:pPr>
        <w:pStyle w:val="00BodyText"/>
      </w:pPr>
    </w:p>
    <w:bookmarkEnd w:id="2"/>
    <w:bookmarkEnd w:id="1258"/>
    <w:bookmarkEnd w:id="1298"/>
    <w:p w14:paraId="10445A01" w14:textId="65BF2491" w:rsidR="00885580" w:rsidRDefault="007820D0" w:rsidP="00885580">
      <w:pPr>
        <w:pStyle w:val="Heading1"/>
      </w:pPr>
      <w:r>
        <w:t>Conclusion</w:t>
      </w:r>
    </w:p>
    <w:p w14:paraId="0AFD4555" w14:textId="585DE085" w:rsidR="007A5802" w:rsidRDefault="007A5802" w:rsidP="001C05AC">
      <w:pPr>
        <w:spacing w:after="120"/>
        <w:jc w:val="both"/>
        <w:rPr>
          <w:rStyle w:val="normaltextrun"/>
          <w:color w:val="000000"/>
          <w:shd w:val="clear" w:color="auto" w:fill="FFFFFF"/>
        </w:rPr>
      </w:pPr>
      <w:r>
        <w:rPr>
          <w:rStyle w:val="normaltextrun"/>
          <w:color w:val="000000"/>
          <w:shd w:val="clear" w:color="auto" w:fill="FFFFFF"/>
        </w:rPr>
        <w:t>In this contribution, we discussed subband non-overlapping full duplex (SBFD) for NR and included considerations on the feasibility, performance</w:t>
      </w:r>
      <w:r w:rsidR="00D3439D">
        <w:rPr>
          <w:rStyle w:val="normaltextrun"/>
          <w:color w:val="000000"/>
          <w:shd w:val="clear" w:color="auto" w:fill="FFFFFF"/>
        </w:rPr>
        <w:t>,</w:t>
      </w:r>
      <w:r>
        <w:rPr>
          <w:rStyle w:val="normaltextrun"/>
          <w:color w:val="000000"/>
          <w:shd w:val="clear" w:color="auto" w:fill="FFFFFF"/>
        </w:rPr>
        <w:t xml:space="preserve"> and system design enhancements of SBFD. Based on the discussions, we have the following observations and proposals:</w:t>
      </w:r>
    </w:p>
    <w:p w14:paraId="21ACA85A" w14:textId="77777777" w:rsidR="001114EB" w:rsidRDefault="001114EB" w:rsidP="001C05AC">
      <w:pPr>
        <w:spacing w:after="120"/>
        <w:jc w:val="both"/>
        <w:rPr>
          <w:rStyle w:val="normaltextrun"/>
          <w:color w:val="000000"/>
          <w:shd w:val="clear" w:color="auto" w:fill="FFFFFF"/>
        </w:rPr>
      </w:pPr>
    </w:p>
    <w:p w14:paraId="76CF6A1D" w14:textId="55136986" w:rsidR="006512C6" w:rsidRPr="001114EB" w:rsidRDefault="006512C6" w:rsidP="001C05AC">
      <w:pPr>
        <w:spacing w:after="120"/>
        <w:jc w:val="both"/>
        <w:rPr>
          <w:rStyle w:val="normaltextrun"/>
          <w:b/>
          <w:bCs/>
          <w:color w:val="000000"/>
          <w:sz w:val="24"/>
          <w:szCs w:val="24"/>
          <w:u w:val="single"/>
          <w:shd w:val="clear" w:color="auto" w:fill="FFFFFF"/>
        </w:rPr>
      </w:pPr>
      <w:r w:rsidRPr="001114EB">
        <w:rPr>
          <w:rStyle w:val="normaltextrun"/>
          <w:b/>
          <w:bCs/>
          <w:color w:val="000000"/>
          <w:sz w:val="24"/>
          <w:szCs w:val="24"/>
          <w:u w:val="single"/>
          <w:shd w:val="clear" w:color="auto" w:fill="FFFFFF"/>
        </w:rPr>
        <w:t>Proposals:</w:t>
      </w:r>
    </w:p>
    <w:p w14:paraId="19D10B65"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rPr>
        <w:t>Proposal 1</w:t>
      </w:r>
      <w:r>
        <w:t>:</w:t>
      </w:r>
      <w:r>
        <w:rPr>
          <w:rFonts w:asciiTheme="minorHAnsi" w:eastAsiaTheme="minorEastAsia" w:hAnsiTheme="minorHAnsi" w:cstheme="minorBidi"/>
          <w:kern w:val="2"/>
          <w:szCs w:val="22"/>
          <w14:ligatures w14:val="standardContextual"/>
        </w:rPr>
        <w:tab/>
      </w:r>
      <w:r>
        <w:t>Support dynamic indication of SBFD subbands in time-domain.</w:t>
      </w:r>
    </w:p>
    <w:p w14:paraId="66B5D2F6"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lang w:eastAsia="zh-CN"/>
        </w:rPr>
        <w:t>Proposal 2</w:t>
      </w:r>
      <w:r>
        <w:rPr>
          <w:lang w:eastAsia="zh-CN"/>
        </w:rPr>
        <w:t>:</w:t>
      </w:r>
      <w:r>
        <w:rPr>
          <w:rFonts w:asciiTheme="minorHAnsi" w:eastAsiaTheme="minorEastAsia" w:hAnsiTheme="minorHAnsi" w:cstheme="minorBidi"/>
          <w:kern w:val="2"/>
          <w:szCs w:val="22"/>
          <w14:ligatures w14:val="standardContextual"/>
        </w:rPr>
        <w:tab/>
      </w:r>
      <w:r>
        <w:rPr>
          <w:lang w:eastAsia="zh-CN"/>
        </w:rPr>
        <w:t>For a SBFD symbol configured as DL in TDD-UL-DL-ConfigCommon, support converting the SBFD symbol to DL-only symbol.</w:t>
      </w:r>
    </w:p>
    <w:p w14:paraId="686B17FB"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lang w:eastAsia="zh-CN"/>
        </w:rPr>
        <w:t>Proposal 3</w:t>
      </w:r>
      <w:r>
        <w:rPr>
          <w:lang w:eastAsia="zh-CN"/>
        </w:rPr>
        <w:t>:</w:t>
      </w:r>
      <w:r>
        <w:rPr>
          <w:rFonts w:asciiTheme="minorHAnsi" w:eastAsiaTheme="minorEastAsia" w:hAnsiTheme="minorHAnsi" w:cstheme="minorBidi"/>
          <w:kern w:val="2"/>
          <w:szCs w:val="22"/>
          <w14:ligatures w14:val="standardContextual"/>
        </w:rPr>
        <w:tab/>
      </w:r>
      <w:r>
        <w:rPr>
          <w:lang w:eastAsia="zh-CN"/>
        </w:rPr>
        <w:t>For a SBFD symbol configured as flexible in TDD-UL-DL-ConfigCommon, support converting the SBFD symbol to DL-only or UL-only.</w:t>
      </w:r>
    </w:p>
    <w:p w14:paraId="6F83F89C"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rPr>
        <w:t>Proposal 4</w:t>
      </w:r>
      <w:r>
        <w:t>:</w:t>
      </w:r>
      <w:r>
        <w:rPr>
          <w:rFonts w:asciiTheme="minorHAnsi" w:eastAsiaTheme="minorEastAsia" w:hAnsiTheme="minorHAnsi" w:cstheme="minorBidi"/>
          <w:kern w:val="2"/>
          <w:szCs w:val="22"/>
          <w14:ligatures w14:val="standardContextual"/>
        </w:rPr>
        <w:tab/>
      </w:r>
      <w:r>
        <w:t xml:space="preserve">For a SBFD aware UE in a symbol semi-statically configured as DL or Flexible in </w:t>
      </w:r>
      <w:r w:rsidRPr="00EB4D9C">
        <w:rPr>
          <w:i/>
          <w:iCs/>
        </w:rPr>
        <w:t>tdd-UL-DL-ConfigurationCommon</w:t>
      </w:r>
      <w:r>
        <w:t>, support mechanisms enabling dynamic configuration of the SBFD UL subband in the symbol.</w:t>
      </w:r>
    </w:p>
    <w:p w14:paraId="34E55F40"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rPr>
        <w:t>Proposal 5</w:t>
      </w:r>
      <w:r>
        <w:t>:</w:t>
      </w:r>
      <w:r>
        <w:rPr>
          <w:rFonts w:asciiTheme="minorHAnsi" w:eastAsiaTheme="minorEastAsia" w:hAnsiTheme="minorHAnsi" w:cstheme="minorBidi"/>
          <w:kern w:val="2"/>
          <w:szCs w:val="22"/>
          <w14:ligatures w14:val="standardContextual"/>
        </w:rPr>
        <w:tab/>
      </w:r>
      <w:r>
        <w:t>For a SBFD aware UE semi-statically configured with UL subband in a SBFD symbol configured as DL in TDD-UL-DL-ConfigCommon, the following is agreed as baseline in the RAN1 study:</w:t>
      </w:r>
    </w:p>
    <w:p w14:paraId="5E83E75A"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 UL transmissions within UL subband are allowed in the symbol</w:t>
      </w:r>
    </w:p>
    <w:p w14:paraId="054F3E04"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 UL transmissions outside UL subband are not allowed in the symbol</w:t>
      </w:r>
    </w:p>
    <w:p w14:paraId="4C0ADC85"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 Frequency locations of DL subband(s) are known to the SBFD aware UE</w:t>
      </w:r>
    </w:p>
    <w:p w14:paraId="57BAB594"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 The frequency location of DL subband(s) can be explicitly indicated or implicitly derived</w:t>
      </w:r>
    </w:p>
    <w:p w14:paraId="30D4D1BF"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 DL receptions within DL subband(s) are allowed in the symbol</w:t>
      </w:r>
    </w:p>
    <w:p w14:paraId="6F7F6433" w14:textId="77777777" w:rsidR="006512C6" w:rsidRDefault="006512C6" w:rsidP="006512C6">
      <w:pPr>
        <w:pStyle w:val="TOC1"/>
        <w:rPr>
          <w:rFonts w:asciiTheme="minorHAnsi" w:eastAsiaTheme="minorEastAsia" w:hAnsiTheme="minorHAnsi" w:cstheme="minorBidi"/>
          <w:kern w:val="2"/>
          <w:szCs w:val="22"/>
          <w14:ligatures w14:val="standardContextual"/>
        </w:rPr>
      </w:pPr>
      <w:r>
        <w:rPr>
          <w:highlight w:val="yellow"/>
        </w:rPr>
        <w:tab/>
      </w:r>
      <w:r w:rsidRPr="00EB4D9C">
        <w:rPr>
          <w:highlight w:val="yellow"/>
        </w:rPr>
        <w:t>· The symbol can be converted to a DL-only symbol</w:t>
      </w:r>
    </w:p>
    <w:p w14:paraId="0533F43D" w14:textId="77777777" w:rsidR="006512C6" w:rsidRDefault="006512C6" w:rsidP="006512C6">
      <w:pPr>
        <w:pStyle w:val="TOC1"/>
        <w:rPr>
          <w:rFonts w:asciiTheme="minorHAnsi" w:eastAsiaTheme="minorEastAsia" w:hAnsiTheme="minorHAnsi" w:cstheme="minorBidi"/>
          <w:kern w:val="2"/>
          <w:szCs w:val="22"/>
          <w14:ligatures w14:val="standardContextual"/>
        </w:rPr>
      </w:pPr>
      <w:r>
        <w:tab/>
        <w:t>Note: UL transmissions are within active UL BWP and DL receptions are within active DL BWP in the symbol</w:t>
      </w:r>
    </w:p>
    <w:p w14:paraId="2C4BF521"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rPr>
        <w:t>Proposal 6</w:t>
      </w:r>
      <w:r>
        <w:t>:</w:t>
      </w:r>
      <w:r>
        <w:rPr>
          <w:rFonts w:asciiTheme="minorHAnsi" w:eastAsiaTheme="minorEastAsia" w:hAnsiTheme="minorHAnsi" w:cstheme="minorBidi"/>
          <w:kern w:val="2"/>
          <w:szCs w:val="22"/>
          <w14:ligatures w14:val="standardContextual"/>
        </w:rPr>
        <w:tab/>
      </w:r>
      <w:r>
        <w:t xml:space="preserve">For SBFD operation in a symbol configured as flexible in </w:t>
      </w:r>
      <w:r w:rsidRPr="00EB4D9C">
        <w:rPr>
          <w:i/>
          <w:iCs/>
        </w:rPr>
        <w:t>TDD-UL-DL-ConfigCommon</w:t>
      </w:r>
      <w:r>
        <w:t>:</w:t>
      </w:r>
    </w:p>
    <w:p w14:paraId="7907CCF9"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w:t>
      </w:r>
      <w:r>
        <w:rPr>
          <w:rFonts w:asciiTheme="minorHAnsi" w:eastAsiaTheme="minorEastAsia" w:hAnsiTheme="minorHAnsi" w:cstheme="minorBidi"/>
          <w:kern w:val="2"/>
          <w:szCs w:val="22"/>
          <w14:ligatures w14:val="standardContextual"/>
        </w:rPr>
        <w:tab/>
      </w:r>
      <w:r w:rsidRPr="00EB4D9C">
        <w:t>UL transmissions within UL subband are allowed in the symbol</w:t>
      </w:r>
    </w:p>
    <w:p w14:paraId="3B4F726E"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w:t>
      </w:r>
      <w:r>
        <w:rPr>
          <w:rFonts w:asciiTheme="minorHAnsi" w:eastAsiaTheme="minorEastAsia" w:hAnsiTheme="minorHAnsi" w:cstheme="minorBidi"/>
          <w:kern w:val="2"/>
          <w:szCs w:val="22"/>
          <w14:ligatures w14:val="standardContextual"/>
        </w:rPr>
        <w:tab/>
      </w:r>
      <w:r w:rsidRPr="00EB4D9C">
        <w:t>UL transmissions outside UL subband are not allowed in the symbol</w:t>
      </w:r>
    </w:p>
    <w:p w14:paraId="71E5B71B"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w:t>
      </w:r>
      <w:r>
        <w:rPr>
          <w:rFonts w:asciiTheme="minorHAnsi" w:eastAsiaTheme="minorEastAsia" w:hAnsiTheme="minorHAnsi" w:cstheme="minorBidi"/>
          <w:kern w:val="2"/>
          <w:szCs w:val="22"/>
          <w14:ligatures w14:val="standardContextual"/>
        </w:rPr>
        <w:tab/>
      </w:r>
      <w:r w:rsidRPr="00EB4D9C">
        <w:t>Frequency locations of DL subband(s) are known to the SBFD aware UE</w:t>
      </w:r>
    </w:p>
    <w:p w14:paraId="14AE7C26" w14:textId="77777777" w:rsidR="006512C6" w:rsidRDefault="006512C6" w:rsidP="006512C6">
      <w:pPr>
        <w:pStyle w:val="TOC1"/>
        <w:ind w:left="1134"/>
        <w:rPr>
          <w:rFonts w:asciiTheme="minorHAnsi" w:eastAsiaTheme="minorEastAsia" w:hAnsiTheme="minorHAnsi" w:cstheme="minorBidi"/>
          <w:kern w:val="2"/>
          <w:szCs w:val="22"/>
          <w14:ligatures w14:val="standardContextual"/>
        </w:rPr>
      </w:pPr>
      <w:r>
        <w:t>•</w:t>
      </w:r>
      <w:r>
        <w:rPr>
          <w:rFonts w:asciiTheme="minorHAnsi" w:eastAsiaTheme="minorEastAsia" w:hAnsiTheme="minorHAnsi" w:cstheme="minorBidi"/>
          <w:kern w:val="2"/>
          <w:szCs w:val="22"/>
          <w14:ligatures w14:val="standardContextual"/>
        </w:rPr>
        <w:tab/>
      </w:r>
      <w:r w:rsidRPr="00EB4D9C">
        <w:t>DL receptions within DL subband(s) are allowed in the symbol</w:t>
      </w:r>
    </w:p>
    <w:p w14:paraId="04DD82AB" w14:textId="77777777" w:rsidR="006512C6" w:rsidRDefault="006512C6" w:rsidP="006512C6">
      <w:pPr>
        <w:pStyle w:val="TOC1"/>
        <w:rPr>
          <w:rFonts w:asciiTheme="minorHAnsi" w:eastAsiaTheme="minorEastAsia" w:hAnsiTheme="minorHAnsi" w:cstheme="minorBidi"/>
          <w:kern w:val="2"/>
          <w:szCs w:val="22"/>
          <w14:ligatures w14:val="standardContextual"/>
        </w:rPr>
      </w:pPr>
      <w:r>
        <w:rPr>
          <w:highlight w:val="yellow"/>
        </w:rPr>
        <w:tab/>
      </w:r>
      <w:r w:rsidRPr="00EB4D9C">
        <w:rPr>
          <w:highlight w:val="yellow"/>
        </w:rPr>
        <w:t>The symbol can be converted to a DL-only symbol or UL-only symbol</w:t>
      </w:r>
    </w:p>
    <w:p w14:paraId="40EA8AD3" w14:textId="77777777" w:rsidR="006512C6" w:rsidRDefault="006512C6" w:rsidP="006512C6">
      <w:pPr>
        <w:pStyle w:val="TOC1"/>
        <w:tabs>
          <w:tab w:val="left" w:pos="1418"/>
        </w:tabs>
        <w:rPr>
          <w:rFonts w:asciiTheme="minorHAnsi" w:eastAsiaTheme="minorEastAsia" w:hAnsiTheme="minorHAnsi" w:cstheme="minorBidi"/>
          <w:kern w:val="2"/>
          <w:szCs w:val="22"/>
          <w14:ligatures w14:val="standardContextual"/>
        </w:rPr>
      </w:pPr>
      <w:r w:rsidRPr="00FA0516">
        <w:rPr>
          <w:b/>
          <w:bCs/>
        </w:rPr>
        <w:t>Proposal 7</w:t>
      </w:r>
      <w:r>
        <w:t>:</w:t>
      </w:r>
      <w:r>
        <w:rPr>
          <w:rFonts w:asciiTheme="minorHAnsi" w:eastAsiaTheme="minorEastAsia" w:hAnsiTheme="minorHAnsi" w:cstheme="minorBidi"/>
          <w:kern w:val="2"/>
          <w:szCs w:val="22"/>
          <w14:ligatures w14:val="standardContextual"/>
        </w:rPr>
        <w:tab/>
      </w:r>
      <w:r>
        <w:t>Signaling of the frequency and time location of the UL subband via SIB is assumed as baseline. Signaling via dedicated RRC can be considered as an additional (not alternative) option.</w:t>
      </w:r>
    </w:p>
    <w:p w14:paraId="5546D7C9" w14:textId="77777777" w:rsidR="006512C6" w:rsidRDefault="006512C6" w:rsidP="001C05AC">
      <w:pPr>
        <w:spacing w:after="120"/>
        <w:jc w:val="both"/>
        <w:rPr>
          <w:rStyle w:val="normaltextrun"/>
          <w:color w:val="000000"/>
          <w:shd w:val="clear" w:color="auto" w:fill="FFFFFF"/>
          <w:lang w:val="en-US"/>
        </w:rPr>
      </w:pPr>
    </w:p>
    <w:p w14:paraId="2606C99E"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FA0516">
        <w:rPr>
          <w:rFonts w:eastAsia="Arial"/>
          <w:b/>
          <w:bCs/>
        </w:rPr>
        <w:t>Proposal 8</w:t>
      </w:r>
      <w:r w:rsidRPr="00EB4D9C">
        <w:rPr>
          <w:rFonts w:eastAsia="Arial"/>
        </w:rPr>
        <w:t>:</w:t>
      </w:r>
      <w:r>
        <w:rPr>
          <w:rFonts w:asciiTheme="minorHAnsi" w:eastAsiaTheme="minorEastAsia" w:hAnsiTheme="minorHAnsi" w:cstheme="minorBidi"/>
          <w:kern w:val="2"/>
          <w:szCs w:val="22"/>
          <w14:ligatures w14:val="standardContextual"/>
        </w:rPr>
        <w:tab/>
      </w:r>
      <w:r>
        <w:t>The frequency allocated to SSB or CORESET0 is used as reference for the configuration of the UL subband.</w:t>
      </w:r>
    </w:p>
    <w:p w14:paraId="6D7178E7"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7A06C7">
        <w:rPr>
          <w:b/>
          <w:bCs/>
        </w:rPr>
        <w:t>Proposal 9</w:t>
      </w:r>
      <w:r>
        <w:t>:</w:t>
      </w:r>
      <w:r>
        <w:rPr>
          <w:rFonts w:asciiTheme="minorHAnsi" w:eastAsiaTheme="minorEastAsia" w:hAnsiTheme="minorHAnsi" w:cstheme="minorBidi"/>
          <w:kern w:val="2"/>
          <w:szCs w:val="22"/>
          <w14:ligatures w14:val="standardContextual"/>
        </w:rPr>
        <w:tab/>
      </w:r>
      <w:r>
        <w:t>UL transmissions during SSB symbols are not allowed.</w:t>
      </w:r>
    </w:p>
    <w:p w14:paraId="214C4A92" w14:textId="77777777" w:rsidR="00505B70" w:rsidRDefault="00505B70" w:rsidP="001C05AC">
      <w:pPr>
        <w:spacing w:after="120"/>
        <w:jc w:val="both"/>
        <w:rPr>
          <w:rStyle w:val="normaltextrun"/>
          <w:color w:val="000000"/>
          <w:shd w:val="clear" w:color="auto" w:fill="FFFFFF"/>
          <w:lang w:val="en-US"/>
        </w:rPr>
      </w:pPr>
    </w:p>
    <w:p w14:paraId="3DE2AF00"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10</w:t>
      </w:r>
      <w:r>
        <w:t>:</w:t>
      </w:r>
      <w:r>
        <w:rPr>
          <w:rFonts w:asciiTheme="minorHAnsi" w:eastAsiaTheme="minorEastAsia" w:hAnsiTheme="minorHAnsi" w:cstheme="minorBidi"/>
          <w:kern w:val="2"/>
          <w:szCs w:val="22"/>
          <w14:ligatures w14:val="standardContextual"/>
        </w:rPr>
        <w:tab/>
      </w:r>
      <w:r>
        <w:t>Assume RB-set based scheme as the baseline. With the RB-set based scheme, a UE’s active BWP may include PRBs that are used by the serving cell for the opposite link direction.</w:t>
      </w:r>
    </w:p>
    <w:p w14:paraId="60A03081" w14:textId="0FD58185" w:rsidR="00505B70" w:rsidRDefault="00505B70" w:rsidP="00994D00">
      <w:pPr>
        <w:pStyle w:val="TOC1"/>
        <w:tabs>
          <w:tab w:val="left" w:pos="1701"/>
        </w:tabs>
        <w:rPr>
          <w:rFonts w:asciiTheme="minorHAnsi" w:eastAsiaTheme="minorEastAsia" w:hAnsiTheme="minorHAnsi" w:cstheme="minorBidi"/>
          <w:kern w:val="2"/>
          <w:szCs w:val="22"/>
          <w14:ligatures w14:val="standardContextual"/>
        </w:rPr>
      </w:pPr>
      <w:r>
        <w:rPr>
          <w:rStyle w:val="normaltextrun"/>
          <w:color w:val="000000"/>
          <w:shd w:val="clear" w:color="auto" w:fill="FFFFFF"/>
        </w:rPr>
        <w:fldChar w:fldCharType="begin"/>
      </w:r>
      <w:r>
        <w:rPr>
          <w:rStyle w:val="normaltextrun"/>
          <w:color w:val="000000"/>
          <w:shd w:val="clear" w:color="auto" w:fill="FFFFFF"/>
        </w:rPr>
        <w:instrText xml:space="preserve"> TOC \n \t "Proposal,1,Observation,1" </w:instrText>
      </w:r>
      <w:r>
        <w:rPr>
          <w:rStyle w:val="normaltextrun"/>
          <w:color w:val="000000"/>
          <w:shd w:val="clear" w:color="auto" w:fill="FFFFFF"/>
        </w:rPr>
        <w:fldChar w:fldCharType="separate"/>
      </w:r>
    </w:p>
    <w:p w14:paraId="7C71C117"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11</w:t>
      </w:r>
      <w:r>
        <w:t>:</w:t>
      </w:r>
      <w:r>
        <w:rPr>
          <w:rFonts w:asciiTheme="minorHAnsi" w:eastAsiaTheme="minorEastAsia" w:hAnsiTheme="minorHAnsi" w:cstheme="minorBidi"/>
          <w:kern w:val="2"/>
          <w:szCs w:val="22"/>
          <w14:ligatures w14:val="standardContextual"/>
        </w:rPr>
        <w:tab/>
      </w:r>
      <w:r>
        <w:t>Capture in the TR the following conclusion: It is beneficial to allow PRACH and Msg3 transmissions in SBFD symbols. Initial access during SBFD symbols can increase PRACH capacity, PRACH/Msg3 coverage (e.g. by 3 or 6dB), reduce the collision probability as well as reduce latency of random access as much as 18 slots, depending on the configurations being compared.</w:t>
      </w:r>
    </w:p>
    <w:p w14:paraId="330995B4"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12</w:t>
      </w:r>
      <w:r>
        <w:t>:</w:t>
      </w:r>
      <w:r>
        <w:rPr>
          <w:rFonts w:asciiTheme="minorHAnsi" w:eastAsiaTheme="minorEastAsia" w:hAnsiTheme="minorHAnsi" w:cstheme="minorBidi"/>
          <w:kern w:val="2"/>
          <w:szCs w:val="22"/>
          <w14:ligatures w14:val="standardContextual"/>
        </w:rPr>
        <w:tab/>
      </w:r>
      <w:r>
        <w:t>For SBFD-aware UEs, for an RBG that overlaps the subband boundary:</w:t>
      </w:r>
    </w:p>
    <w:p w14:paraId="11C0E818"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t>•</w:t>
      </w:r>
      <w:r>
        <w:rPr>
          <w:rFonts w:asciiTheme="minorHAnsi" w:eastAsiaTheme="minorEastAsia" w:hAnsiTheme="minorHAnsi" w:cstheme="minorBidi"/>
          <w:kern w:val="2"/>
          <w:szCs w:val="22"/>
          <w14:ligatures w14:val="standardContextual"/>
        </w:rPr>
        <w:tab/>
      </w:r>
      <w:r>
        <w:t>The UE assumes that the part of the UL RBG outside the UL subband cannot be used for transmissions</w:t>
      </w:r>
    </w:p>
    <w:p w14:paraId="681657E7"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13</w:t>
      </w:r>
      <w:r>
        <w:t>:</w:t>
      </w:r>
      <w:r>
        <w:rPr>
          <w:rFonts w:asciiTheme="minorHAnsi" w:eastAsiaTheme="minorEastAsia" w:hAnsiTheme="minorHAnsi" w:cstheme="minorBidi"/>
          <w:kern w:val="2"/>
          <w:szCs w:val="22"/>
          <w14:ligatures w14:val="standardContextual"/>
        </w:rPr>
        <w:tab/>
      </w:r>
      <w:r>
        <w:t>FDRA type 1 enhancements are needed to support allocation across two DL subbands in a SBFD symbol with one RIV and existing DCI formats.</w:t>
      </w:r>
    </w:p>
    <w:p w14:paraId="3C372617"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14</w:t>
      </w:r>
      <w:r>
        <w:t>:</w:t>
      </w:r>
      <w:r>
        <w:rPr>
          <w:rFonts w:asciiTheme="minorHAnsi" w:eastAsiaTheme="minorEastAsia" w:hAnsiTheme="minorHAnsi" w:cstheme="minorBidi"/>
          <w:kern w:val="2"/>
          <w:szCs w:val="22"/>
          <w14:ligatures w14:val="standardContextual"/>
        </w:rPr>
        <w:tab/>
      </w:r>
      <w:r>
        <w:t>For CSI-RS resource set frequency domain resource allocation and CSI reporting configuration across non-contiguous DL subband, CSI-RS resources are configured over the entire bandwidth, with non-contiguous CSI-RS resource derived by excluding frequency resources outside DL subband (s).</w:t>
      </w:r>
    </w:p>
    <w:p w14:paraId="2ABD0CC9"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15</w:t>
      </w:r>
      <w:r>
        <w:t>:</w:t>
      </w:r>
      <w:r>
        <w:rPr>
          <w:rFonts w:asciiTheme="minorHAnsi" w:eastAsiaTheme="minorEastAsia" w:hAnsiTheme="minorHAnsi" w:cstheme="minorBidi"/>
          <w:kern w:val="2"/>
          <w:szCs w:val="22"/>
          <w14:ligatures w14:val="standardContextual"/>
        </w:rPr>
        <w:tab/>
      </w:r>
      <w:r>
        <w:t xml:space="preserve">For CSI report associated with periodic/semi-persistent CSI-RS in case the periodicity is such that CSI-RS instances occur in both SBFD and non-SBFD symbols, two CSI-ReportConfig are configured. </w:t>
      </w:r>
      <w:r w:rsidRPr="00EB4D9C">
        <w:rPr>
          <w:rFonts w:ascii="Times" w:eastAsia="Times New Roman" w:hAnsi="Times" w:cs="Times"/>
        </w:rPr>
        <w:t xml:space="preserve">Both </w:t>
      </w:r>
      <w:r w:rsidRPr="00EB4D9C">
        <w:rPr>
          <w:rFonts w:ascii="Times" w:eastAsia="Times New Roman" w:hAnsi="Times" w:cs="Times"/>
          <w:i/>
        </w:rPr>
        <w:t>CSI-ReportConfig</w:t>
      </w:r>
      <w:r w:rsidRPr="00EB4D9C">
        <w:rPr>
          <w:rFonts w:ascii="Times" w:eastAsia="Times New Roman" w:hAnsi="Times" w:cs="Times"/>
        </w:rPr>
        <w:t xml:space="preserve">s are associated with the same CSI-RS. The CSI report associated with one </w:t>
      </w:r>
      <w:r w:rsidRPr="00EB4D9C">
        <w:rPr>
          <w:rFonts w:ascii="Times" w:eastAsia="Times New Roman" w:hAnsi="Times" w:cs="Times"/>
          <w:i/>
        </w:rPr>
        <w:t>CSI-ReportConfig</w:t>
      </w:r>
      <w:r w:rsidRPr="00EB4D9C">
        <w:rPr>
          <w:rFonts w:ascii="Times" w:eastAsia="Times New Roman" w:hAnsi="Times" w:cs="Times"/>
        </w:rPr>
        <w:t xml:space="preserve"> is derived based on CSI-RS instances in SBFD symbols only. The CSI report associated with the second </w:t>
      </w:r>
      <w:r w:rsidRPr="00EB4D9C">
        <w:rPr>
          <w:rFonts w:ascii="Times" w:eastAsia="Times New Roman" w:hAnsi="Times" w:cs="Times"/>
          <w:i/>
        </w:rPr>
        <w:t>CSI-ReportConfig</w:t>
      </w:r>
      <w:r w:rsidRPr="00EB4D9C">
        <w:rPr>
          <w:rFonts w:ascii="Times" w:eastAsia="Times New Roman" w:hAnsi="Times" w:cs="Times"/>
        </w:rPr>
        <w:t xml:space="preserve"> is derived based on CSI-RS instances in non-SBFD symbols only.</w:t>
      </w:r>
    </w:p>
    <w:p w14:paraId="6AB6FDB3"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16</w:t>
      </w:r>
      <w:r>
        <w:t>:</w:t>
      </w:r>
      <w:r>
        <w:rPr>
          <w:rFonts w:asciiTheme="minorHAnsi" w:eastAsiaTheme="minorEastAsia" w:hAnsiTheme="minorHAnsi" w:cstheme="minorBidi"/>
          <w:kern w:val="2"/>
          <w:szCs w:val="22"/>
          <w14:ligatures w14:val="standardContextual"/>
        </w:rPr>
        <w:tab/>
      </w:r>
      <w:r>
        <w:t>A slot can consist of both SBFD and non-SBFD symbols.</w:t>
      </w:r>
    </w:p>
    <w:p w14:paraId="2E25250B"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rFonts w:eastAsiaTheme="minorEastAsia"/>
          <w:b/>
          <w:bCs/>
        </w:rPr>
        <w:t>Proposal 17</w:t>
      </w:r>
      <w:r w:rsidRPr="00EB4D9C">
        <w:rPr>
          <w:rFonts w:eastAsiaTheme="minorEastAsia"/>
        </w:rPr>
        <w:t>:</w:t>
      </w:r>
      <w:r>
        <w:rPr>
          <w:rFonts w:asciiTheme="minorHAnsi" w:eastAsiaTheme="minorEastAsia" w:hAnsiTheme="minorHAnsi" w:cstheme="minorBidi"/>
          <w:kern w:val="2"/>
          <w:szCs w:val="22"/>
          <w14:ligatures w14:val="standardContextual"/>
        </w:rPr>
        <w:tab/>
      </w:r>
      <w:r>
        <w:t>The exact value of the guard-period between SBFD and non-SBFD symbols can be discussed in the WI phase.</w:t>
      </w:r>
    </w:p>
    <w:p w14:paraId="5592D845"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18</w:t>
      </w:r>
      <w:r>
        <w:t>:</w:t>
      </w:r>
      <w:r>
        <w:rPr>
          <w:rFonts w:asciiTheme="minorHAnsi" w:eastAsiaTheme="minorEastAsia" w:hAnsiTheme="minorHAnsi" w:cstheme="minorBidi"/>
          <w:kern w:val="2"/>
          <w:szCs w:val="22"/>
          <w14:ligatures w14:val="standardContextual"/>
        </w:rPr>
        <w:tab/>
      </w:r>
      <w:r>
        <w:t>If a transmission is not allowed to be mapped across SBFD and non-SBFD symbols in a slot, RAN1 should further discuss UE behavior for TDRA determination for the transmission occasion that spans across symbol types in the slot, especially for semi-static PUSCH/PDSCH and PUSCH/PDSCH with repetitions and TBoMS.</w:t>
      </w:r>
    </w:p>
    <w:p w14:paraId="7D7FC00E"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19</w:t>
      </w:r>
      <w:r>
        <w:t>:</w:t>
      </w:r>
      <w:r>
        <w:rPr>
          <w:rFonts w:asciiTheme="minorHAnsi" w:eastAsiaTheme="minorEastAsia" w:hAnsiTheme="minorHAnsi" w:cstheme="minorBidi"/>
          <w:kern w:val="2"/>
          <w:szCs w:val="22"/>
          <w14:ligatures w14:val="standardContextual"/>
        </w:rPr>
        <w:tab/>
      </w:r>
      <w:r>
        <w:t xml:space="preserve">For a slot covering both SBFD symbol and non-SBFD symbol, RAN1 should also consider the option that </w:t>
      </w:r>
      <w:r w:rsidRPr="00003BA0">
        <w:rPr>
          <w:rFonts w:eastAsia="Malgun Gothic"/>
        </w:rPr>
        <w:t>UE can transmit or receive the physical channel/signal only in SBFD or non-SBFD symbol.</w:t>
      </w:r>
    </w:p>
    <w:p w14:paraId="28F7D5FE"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20</w:t>
      </w:r>
      <w:r>
        <w:t>:</w:t>
      </w:r>
      <w:r>
        <w:rPr>
          <w:rFonts w:asciiTheme="minorHAnsi" w:eastAsiaTheme="minorEastAsia" w:hAnsiTheme="minorHAnsi" w:cstheme="minorBidi"/>
          <w:kern w:val="2"/>
          <w:szCs w:val="22"/>
          <w14:ligatures w14:val="standardContextual"/>
        </w:rPr>
        <w:tab/>
      </w:r>
      <w:r w:rsidRPr="00003BA0">
        <w:rPr>
          <w:rFonts w:eastAsia="Malgun Gothic" w:cs="Times"/>
          <w:lang w:eastAsia="zh-CN"/>
        </w:rPr>
        <w:t xml:space="preserve">For SBFD aware UEs, for UL transmissions and DL receptions across SBFD symbols and non-SBFD symbols </w:t>
      </w:r>
      <w:r w:rsidRPr="00003BA0">
        <w:rPr>
          <w:rFonts w:eastAsia="Malgun Gothic" w:cs="Times"/>
          <w:u w:val="single"/>
          <w:lang w:eastAsia="zh-CN"/>
        </w:rPr>
        <w:t>in different slots</w:t>
      </w:r>
      <w:r w:rsidRPr="00003BA0">
        <w:rPr>
          <w:rFonts w:eastAsia="Malgun Gothic" w:cs="Times"/>
          <w:lang w:eastAsia="zh-CN"/>
        </w:rPr>
        <w:t>, t</w:t>
      </w:r>
      <w:r>
        <w:t>he transmissions/receptions can be in SBFD symbols and non-SBFD symbols</w:t>
      </w:r>
    </w:p>
    <w:p w14:paraId="46D94352"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21</w:t>
      </w:r>
      <w:r>
        <w:t>:</w:t>
      </w:r>
      <w:r>
        <w:rPr>
          <w:rFonts w:asciiTheme="minorHAnsi" w:eastAsiaTheme="minorEastAsia" w:hAnsiTheme="minorHAnsi" w:cstheme="minorBidi"/>
          <w:kern w:val="2"/>
          <w:szCs w:val="22"/>
          <w14:ligatures w14:val="standardContextual"/>
        </w:rPr>
        <w:tab/>
      </w:r>
      <w:r>
        <w:t>For CG-PUSCH and DL SPS, introduce SBFD-specific configurations where one set of radio parameters is used depending on the corresponding slot format.</w:t>
      </w:r>
    </w:p>
    <w:p w14:paraId="17F876A9"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22</w:t>
      </w:r>
      <w:r>
        <w:t>:</w:t>
      </w:r>
      <w:r>
        <w:rPr>
          <w:rFonts w:asciiTheme="minorHAnsi" w:eastAsiaTheme="minorEastAsia" w:hAnsiTheme="minorHAnsi" w:cstheme="minorBidi"/>
          <w:kern w:val="2"/>
          <w:szCs w:val="22"/>
          <w14:ligatures w14:val="standardContextual"/>
        </w:rPr>
        <w:tab/>
      </w:r>
      <w:r>
        <w:t>For SRS, PUCCH and PUSCH on SBFD symbols and non-SBFD symbols in different slots, introduce separate configurations (as in Option 1-1), or related configurations (as in Option 1-3).</w:t>
      </w:r>
    </w:p>
    <w:p w14:paraId="31ECEB04"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23</w:t>
      </w:r>
      <w:r>
        <w:t>:</w:t>
      </w:r>
      <w:r>
        <w:rPr>
          <w:rFonts w:asciiTheme="minorHAnsi" w:eastAsiaTheme="minorEastAsia" w:hAnsiTheme="minorHAnsi" w:cstheme="minorBidi"/>
          <w:kern w:val="2"/>
          <w:szCs w:val="22"/>
          <w14:ligatures w14:val="standardContextual"/>
        </w:rPr>
        <w:tab/>
      </w:r>
      <w:r>
        <w:t>For Scheduled/configured TBoMS across SBFD symbols and non-SBFD symbols, with or without repetition:</w:t>
      </w:r>
    </w:p>
    <w:p w14:paraId="6900C614"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consider different number of RBs</w:t>
      </w:r>
      <w:r w:rsidRPr="00EB4D9C">
        <w:t xml:space="preserve"> for the repetitions (or the slots of a TBoMS) in SBFD slots compared to the repetitions (or the slots of the TBoMS) in non-SBFD slots</w:t>
      </w:r>
    </w:p>
    <w:p w14:paraId="5DBBCDFF"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combine both repetitions and TBoMS, for example applying TBoMS for t</w:t>
      </w:r>
      <w:r w:rsidRPr="00EB4D9C">
        <w:t>he repetitions of a PUSCH in SBFD slots, while the usual single-slot repetition is used for the repetitions of the PUSCH in non-SBFD slots</w:t>
      </w:r>
    </w:p>
    <w:p w14:paraId="08DA9C96"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Use of different</w:t>
      </w:r>
      <w:r w:rsidRPr="00EB4D9C">
        <w:t xml:space="preserve"> density of DMRS symbols in SBFD and non-SBFD symbols</w:t>
      </w:r>
    </w:p>
    <w:p w14:paraId="45B5DE04"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 xml:space="preserve">Use of different waveforms for the </w:t>
      </w:r>
      <w:r w:rsidRPr="00EB4D9C">
        <w:t>transmissions on different slots</w:t>
      </w:r>
    </w:p>
    <w:p w14:paraId="3E852878"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24</w:t>
      </w:r>
      <w:r>
        <w:t>:</w:t>
      </w:r>
      <w:r>
        <w:rPr>
          <w:rFonts w:asciiTheme="minorHAnsi" w:eastAsiaTheme="minorEastAsia" w:hAnsiTheme="minorHAnsi" w:cstheme="minorBidi"/>
          <w:kern w:val="2"/>
          <w:szCs w:val="22"/>
          <w14:ligatures w14:val="standardContextual"/>
        </w:rPr>
        <w:tab/>
      </w:r>
      <w:r>
        <w:t>For the CORESET/ search space configuration options agreed to be captured in the TR in RAN1 #113, RAN1 should only consider PDCCH mapping/detection methods in which it can be guaranteed that the PDCCH is only mapped on DL resource and UE only detect the PDCCH candidate on DL resource, so that there is no impact on PDCCH detection performance.</w:t>
      </w:r>
    </w:p>
    <w:p w14:paraId="1333AA03"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25</w:t>
      </w:r>
      <w:r>
        <w:t>:</w:t>
      </w:r>
      <w:r>
        <w:rPr>
          <w:rFonts w:asciiTheme="minorHAnsi" w:eastAsiaTheme="minorEastAsia" w:hAnsiTheme="minorHAnsi" w:cstheme="minorBidi"/>
          <w:kern w:val="2"/>
          <w:szCs w:val="22"/>
          <w14:ligatures w14:val="standardContextual"/>
        </w:rPr>
        <w:tab/>
      </w:r>
      <w:r>
        <w:t>Consider using</w:t>
      </w:r>
      <w:r w:rsidRPr="00003BA0">
        <w:rPr>
          <w:rFonts w:ascii="Cambria Math" w:hAnsi="Cambria Math"/>
        </w:rPr>
        <w:t xml:space="preserve"> N</w:t>
      </w:r>
      <w:r w:rsidRPr="00003BA0">
        <w:rPr>
          <w:rFonts w:ascii="Cambria Math" w:hAnsi="Cambria Math"/>
          <w:vertAlign w:val="subscript"/>
        </w:rPr>
        <w:t>TA, offset</w:t>
      </w:r>
      <w:r w:rsidRPr="00003BA0">
        <w:rPr>
          <w:rFonts w:ascii="Cambria Math" w:hAnsi="Cambria Math"/>
        </w:rPr>
        <w:t xml:space="preserve"> = 0 </w:t>
      </w:r>
      <w:r>
        <w:t>in SBFD slots and</w:t>
      </w:r>
      <w:r w:rsidRPr="00003BA0">
        <w:rPr>
          <w:rFonts w:ascii="Cambria Math" w:hAnsi="Cambria Math"/>
        </w:rPr>
        <w:t xml:space="preserve"> N</w:t>
      </w:r>
      <w:r w:rsidRPr="00003BA0">
        <w:rPr>
          <w:rFonts w:ascii="Cambria Math" w:hAnsi="Cambria Math"/>
          <w:vertAlign w:val="subscript"/>
        </w:rPr>
        <w:t>TA, offset</w:t>
      </w:r>
      <w:r w:rsidRPr="00003BA0">
        <w:rPr>
          <w:rFonts w:ascii="Cambria Math" w:hAnsi="Cambria Math"/>
        </w:rPr>
        <w:t xml:space="preserve"> &gt; 0 </w:t>
      </w:r>
      <w:r>
        <w:t>in TDD UL to solve the FFT misalignment problem between UL Rx and DL Tx in SBFD slots.</w:t>
      </w:r>
    </w:p>
    <w:p w14:paraId="400DE7F7"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26</w:t>
      </w:r>
      <w:r>
        <w:t>:</w:t>
      </w:r>
      <w:r>
        <w:rPr>
          <w:rFonts w:asciiTheme="minorHAnsi" w:eastAsiaTheme="minorEastAsia" w:hAnsiTheme="minorHAnsi" w:cstheme="minorBidi"/>
          <w:kern w:val="2"/>
          <w:szCs w:val="22"/>
          <w14:ligatures w14:val="standardContextual"/>
        </w:rPr>
        <w:tab/>
      </w:r>
      <w:r>
        <w:t xml:space="preserve">If it is agreed to use </w:t>
      </w:r>
      <w:r w:rsidRPr="00EB4D9C">
        <w:rPr>
          <w:rFonts w:ascii="Cambria Math" w:hAnsi="Cambria Math"/>
        </w:rPr>
        <w:t>N</w:t>
      </w:r>
      <w:r w:rsidRPr="00EB4D9C">
        <w:rPr>
          <w:rFonts w:ascii="Cambria Math" w:hAnsi="Cambria Math"/>
          <w:vertAlign w:val="subscript"/>
        </w:rPr>
        <w:t>TA, offset</w:t>
      </w:r>
      <w:r w:rsidRPr="00EB4D9C">
        <w:rPr>
          <w:rFonts w:ascii="Cambria Math" w:hAnsi="Cambria Math"/>
        </w:rPr>
        <w:t xml:space="preserve"> = 0 </w:t>
      </w:r>
      <w:r>
        <w:t>in SBFD slots and</w:t>
      </w:r>
      <w:r w:rsidRPr="00EB4D9C">
        <w:rPr>
          <w:rFonts w:ascii="Cambria Math" w:hAnsi="Cambria Math"/>
        </w:rPr>
        <w:t xml:space="preserve"> N</w:t>
      </w:r>
      <w:r w:rsidRPr="00EB4D9C">
        <w:rPr>
          <w:rFonts w:ascii="Cambria Math" w:hAnsi="Cambria Math"/>
          <w:vertAlign w:val="subscript"/>
        </w:rPr>
        <w:t>TA, offset</w:t>
      </w:r>
      <w:r w:rsidRPr="00EB4D9C">
        <w:rPr>
          <w:rFonts w:ascii="Cambria Math" w:hAnsi="Cambria Math"/>
        </w:rPr>
        <w:t xml:space="preserve"> &gt; 0 </w:t>
      </w:r>
      <w:r>
        <w:t>in TDD UL, study how to reduce the increased overhead when switching between TDD DL/UL slots and SBFD slots.</w:t>
      </w:r>
    </w:p>
    <w:p w14:paraId="4C6EE499"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lang w:eastAsia="ko-KR"/>
        </w:rPr>
        <w:t>Proposal 27</w:t>
      </w:r>
      <w:r>
        <w:rPr>
          <w:lang w:eastAsia="ko-KR"/>
        </w:rPr>
        <w:t>:</w:t>
      </w:r>
      <w:r>
        <w:rPr>
          <w:rFonts w:asciiTheme="minorHAnsi" w:eastAsiaTheme="minorEastAsia" w:hAnsiTheme="minorHAnsi" w:cstheme="minorBidi"/>
          <w:kern w:val="2"/>
          <w:szCs w:val="22"/>
          <w14:ligatures w14:val="standardContextual"/>
        </w:rPr>
        <w:tab/>
      </w:r>
      <w:r>
        <w:rPr>
          <w:lang w:eastAsia="ko-KR"/>
        </w:rPr>
        <w:t>For inter-UE inter-subband CLI measurements, the victim UE measures at least:</w:t>
      </w:r>
    </w:p>
    <w:p w14:paraId="55448CE2"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lang w:eastAsia="ko-KR"/>
        </w:rPr>
        <w:t></w:t>
      </w:r>
      <w:r>
        <w:rPr>
          <w:rFonts w:asciiTheme="minorHAnsi" w:eastAsiaTheme="minorEastAsia" w:hAnsiTheme="minorHAnsi" w:cstheme="minorBidi"/>
          <w:kern w:val="2"/>
          <w:szCs w:val="22"/>
          <w14:ligatures w14:val="standardContextual"/>
        </w:rPr>
        <w:tab/>
      </w:r>
      <w:r>
        <w:rPr>
          <w:lang w:eastAsia="ko-KR"/>
        </w:rPr>
        <w:t>RSRP of the aggressor UE within UL subband</w:t>
      </w:r>
    </w:p>
    <w:p w14:paraId="41DDA8FF"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lang w:eastAsia="ko-KR"/>
        </w:rPr>
        <w:t></w:t>
      </w:r>
      <w:r>
        <w:rPr>
          <w:rFonts w:asciiTheme="minorHAnsi" w:eastAsiaTheme="minorEastAsia" w:hAnsiTheme="minorHAnsi" w:cstheme="minorBidi"/>
          <w:kern w:val="2"/>
          <w:szCs w:val="22"/>
          <w14:ligatures w14:val="standardContextual"/>
        </w:rPr>
        <w:tab/>
      </w:r>
      <w:r>
        <w:rPr>
          <w:lang w:eastAsia="ko-KR"/>
        </w:rPr>
        <w:t>RSSI within the guardbands</w:t>
      </w:r>
    </w:p>
    <w:p w14:paraId="6FA911E1"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lang w:eastAsia="zh-CN"/>
        </w:rPr>
        <w:t>Proposal 28</w:t>
      </w:r>
      <w:r>
        <w:rPr>
          <w:lang w:eastAsia="zh-CN"/>
        </w:rPr>
        <w:t>:</w:t>
      </w:r>
      <w:r>
        <w:rPr>
          <w:rFonts w:asciiTheme="minorHAnsi" w:eastAsiaTheme="minorEastAsia" w:hAnsiTheme="minorHAnsi" w:cstheme="minorBidi"/>
          <w:kern w:val="2"/>
          <w:szCs w:val="22"/>
          <w14:ligatures w14:val="standardContextual"/>
        </w:rPr>
        <w:tab/>
      </w:r>
      <w:r>
        <w:t>Capture the following conclusion in the TR: exchange of intended SBFD configuration between the gNBs, e.g. over Xn interface, may be beneficial to reduce the inter-subband interference and improve the SBFD performance.</w:t>
      </w:r>
    </w:p>
    <w:p w14:paraId="441FDD5F"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29</w:t>
      </w:r>
      <w:r>
        <w:t>:</w:t>
      </w:r>
      <w:r>
        <w:rPr>
          <w:rFonts w:asciiTheme="minorHAnsi" w:eastAsiaTheme="minorEastAsia" w:hAnsiTheme="minorHAnsi" w:cstheme="minorBidi"/>
          <w:kern w:val="2"/>
          <w:szCs w:val="22"/>
          <w14:ligatures w14:val="standardContextual"/>
        </w:rPr>
        <w:tab/>
      </w:r>
      <w:r>
        <w:t>The potential benefits of boosting the UE Tx power and/or reducing the gNB power in SBFD slots/symbols shall be further investigated as a potential method to boost the UL received SINR in slots/symbols affected by gNB self-interference.</w:t>
      </w:r>
    </w:p>
    <w:p w14:paraId="157C7070"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30</w:t>
      </w:r>
      <w:r>
        <w:t>:</w:t>
      </w:r>
      <w:r>
        <w:rPr>
          <w:rFonts w:asciiTheme="minorHAnsi" w:eastAsiaTheme="minorEastAsia" w:hAnsiTheme="minorHAnsi" w:cstheme="minorBidi"/>
          <w:kern w:val="2"/>
          <w:szCs w:val="22"/>
          <w14:ligatures w14:val="standardContextual"/>
        </w:rPr>
        <w:tab/>
      </w:r>
      <w:r>
        <w:t>RAN1 to study the potential benefits of SBFD aware UEs prioritizing SBFD cells and/or legacy UEs de-prioritizing SBFD cells when performing cell (re)selection. Detailed solutions are for RAN2 to discuss and specify if/when normative work for SBFD is agreed.</w:t>
      </w:r>
    </w:p>
    <w:p w14:paraId="61F233E1"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31</w:t>
      </w:r>
      <w:r>
        <w:t>:</w:t>
      </w:r>
      <w:r>
        <w:rPr>
          <w:rFonts w:asciiTheme="minorHAnsi" w:eastAsiaTheme="minorEastAsia" w:hAnsiTheme="minorHAnsi" w:cstheme="minorBidi"/>
          <w:kern w:val="2"/>
          <w:szCs w:val="22"/>
          <w14:ligatures w14:val="standardContextual"/>
        </w:rPr>
        <w:tab/>
      </w:r>
      <w:r>
        <w:t>For time domain conflict of SBFD aware UE’s UL and DL operation in the same SBFD symbol, at least study</w:t>
      </w:r>
      <w:r w:rsidRPr="00EB4D9C">
        <w:rPr>
          <w:rFonts w:ascii="Times" w:eastAsia="Batang" w:hAnsi="Times"/>
          <w:color w:val="44546A" w:themeColor="text2"/>
          <w:kern w:val="24"/>
        </w:rPr>
        <w:t xml:space="preserve"> </w:t>
      </w:r>
      <w:r>
        <w:t>whether/how to avoid/handle the following collision cases:</w:t>
      </w:r>
    </w:p>
    <w:p w14:paraId="23BD2B9C"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Semi-static UL (including valid RO) vs</w:t>
      </w:r>
      <w:r w:rsidRPr="00EB4D9C">
        <w:t>. semi-static or dynamic DL (including SSB/Type 0 CSS, if allowed)</w:t>
      </w:r>
    </w:p>
    <w:p w14:paraId="2B3ED697" w14:textId="77777777" w:rsidR="00505B70" w:rsidRDefault="00505B70" w:rsidP="00505B70">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Dynamic</w:t>
      </w:r>
      <w:r w:rsidRPr="00EB4D9C">
        <w:t xml:space="preserve"> UL vs. SSB/Type 0 CSS (if allowed)</w:t>
      </w:r>
    </w:p>
    <w:p w14:paraId="3BC5E9FE"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32</w:t>
      </w:r>
      <w:r>
        <w:t>:</w:t>
      </w:r>
      <w:r>
        <w:rPr>
          <w:rFonts w:asciiTheme="minorHAnsi" w:eastAsiaTheme="minorEastAsia" w:hAnsiTheme="minorHAnsi" w:cstheme="minorBidi"/>
          <w:kern w:val="2"/>
          <w:szCs w:val="22"/>
          <w14:ligatures w14:val="standardContextual"/>
        </w:rPr>
        <w:tab/>
      </w:r>
      <w:r>
        <w:t>: For SBFD aware UE’s, study how to handle collision cases between DL and UL when the time between DL receptions and UL transmissions is less than the Rx-Tx switching time.</w:t>
      </w:r>
    </w:p>
    <w:p w14:paraId="32AE9B41" w14:textId="77777777" w:rsidR="00505B70" w:rsidRDefault="00505B70" w:rsidP="00505B70">
      <w:pPr>
        <w:pStyle w:val="TOC1"/>
        <w:tabs>
          <w:tab w:val="left" w:pos="1418"/>
        </w:tabs>
        <w:rPr>
          <w:rFonts w:asciiTheme="minorHAnsi" w:eastAsiaTheme="minorEastAsia" w:hAnsiTheme="minorHAnsi" w:cstheme="minorBidi"/>
          <w:kern w:val="2"/>
          <w:szCs w:val="22"/>
          <w14:ligatures w14:val="standardContextual"/>
        </w:rPr>
      </w:pPr>
      <w:r w:rsidRPr="00BA2AD8">
        <w:rPr>
          <w:b/>
          <w:bCs/>
        </w:rPr>
        <w:t>Proposal 33</w:t>
      </w:r>
      <w:r>
        <w:t>:</w:t>
      </w:r>
      <w:r>
        <w:rPr>
          <w:rFonts w:asciiTheme="minorHAnsi" w:eastAsiaTheme="minorEastAsia" w:hAnsiTheme="minorHAnsi" w:cstheme="minorBidi"/>
          <w:kern w:val="2"/>
          <w:szCs w:val="22"/>
          <w14:ligatures w14:val="standardContextual"/>
        </w:rPr>
        <w:tab/>
      </w:r>
      <w:r>
        <w:t>For SBFD aware UE’s, study configuration of collision handling rules between DL receptions and UL transmissions.</w:t>
      </w:r>
    </w:p>
    <w:p w14:paraId="4AA88427" w14:textId="6F86C841" w:rsidR="00505B70" w:rsidRPr="006512C6" w:rsidRDefault="00505B70" w:rsidP="00505B70">
      <w:pPr>
        <w:spacing w:after="120"/>
        <w:jc w:val="both"/>
        <w:rPr>
          <w:rStyle w:val="normaltextrun"/>
          <w:color w:val="000000"/>
          <w:shd w:val="clear" w:color="auto" w:fill="FFFFFF"/>
          <w:lang w:val="en-US"/>
        </w:rPr>
      </w:pPr>
      <w:r>
        <w:rPr>
          <w:rStyle w:val="normaltextrun"/>
          <w:color w:val="000000"/>
          <w:shd w:val="clear" w:color="auto" w:fill="FFFFFF"/>
        </w:rPr>
        <w:fldChar w:fldCharType="end"/>
      </w:r>
    </w:p>
    <w:p w14:paraId="3D5BC62E" w14:textId="77777777" w:rsidR="006B3732" w:rsidRPr="001114EB" w:rsidRDefault="006B3732" w:rsidP="006B3732">
      <w:pPr>
        <w:keepNext/>
        <w:spacing w:after="120"/>
        <w:jc w:val="both"/>
        <w:rPr>
          <w:rStyle w:val="normaltextrun"/>
          <w:b/>
          <w:bCs/>
          <w:color w:val="000000"/>
          <w:sz w:val="24"/>
          <w:szCs w:val="24"/>
          <w:u w:val="single"/>
          <w:shd w:val="clear" w:color="auto" w:fill="FFFFFF"/>
        </w:rPr>
      </w:pPr>
      <w:r w:rsidRPr="001114EB">
        <w:rPr>
          <w:rStyle w:val="normaltextrun"/>
          <w:b/>
          <w:bCs/>
          <w:color w:val="000000"/>
          <w:sz w:val="24"/>
          <w:szCs w:val="24"/>
          <w:u w:val="single"/>
          <w:shd w:val="clear" w:color="auto" w:fill="FFFFFF"/>
        </w:rPr>
        <w:t xml:space="preserve">Observations: </w:t>
      </w:r>
    </w:p>
    <w:p w14:paraId="429D6987" w14:textId="77777777" w:rsidR="006B3732" w:rsidRDefault="006B3732">
      <w:pPr>
        <w:pStyle w:val="TOC1"/>
        <w:tabs>
          <w:tab w:val="left" w:pos="1701"/>
        </w:tabs>
        <w:rPr>
          <w:rStyle w:val="normaltextrun"/>
          <w:color w:val="000000"/>
          <w:shd w:val="clear" w:color="auto" w:fill="FFFFFF"/>
        </w:rPr>
      </w:pPr>
    </w:p>
    <w:p w14:paraId="316A8760" w14:textId="4D61F915" w:rsidR="00162802" w:rsidRDefault="00DB5D42">
      <w:pPr>
        <w:pStyle w:val="TOC1"/>
        <w:tabs>
          <w:tab w:val="left" w:pos="1701"/>
        </w:tabs>
        <w:rPr>
          <w:rFonts w:asciiTheme="minorHAnsi" w:eastAsiaTheme="minorEastAsia" w:hAnsiTheme="minorHAnsi" w:cstheme="minorBidi"/>
          <w:kern w:val="2"/>
          <w:szCs w:val="22"/>
          <w14:ligatures w14:val="standardContextual"/>
        </w:rPr>
      </w:pPr>
      <w:r>
        <w:rPr>
          <w:rStyle w:val="normaltextrun"/>
          <w:color w:val="000000"/>
          <w:shd w:val="clear" w:color="auto" w:fill="FFFFFF"/>
        </w:rPr>
        <w:fldChar w:fldCharType="begin"/>
      </w:r>
      <w:r>
        <w:rPr>
          <w:rStyle w:val="normaltextrun"/>
          <w:color w:val="000000"/>
          <w:shd w:val="clear" w:color="auto" w:fill="FFFFFF"/>
        </w:rPr>
        <w:instrText xml:space="preserve"> TOC \n \t "Proposal,1,Observation,1" </w:instrText>
      </w:r>
      <w:r>
        <w:rPr>
          <w:rStyle w:val="normaltextrun"/>
          <w:color w:val="000000"/>
          <w:shd w:val="clear" w:color="auto" w:fill="FFFFFF"/>
        </w:rPr>
        <w:fldChar w:fldCharType="separate"/>
      </w:r>
      <w:r w:rsidR="00162802" w:rsidRPr="006512C6">
        <w:rPr>
          <w:b/>
          <w:bCs/>
        </w:rPr>
        <w:t>Observation 1</w:t>
      </w:r>
      <w:r w:rsidR="00162802">
        <w:t>:</w:t>
      </w:r>
      <w:r w:rsidR="00162802">
        <w:rPr>
          <w:rFonts w:asciiTheme="minorHAnsi" w:eastAsiaTheme="minorEastAsia" w:hAnsiTheme="minorHAnsi" w:cstheme="minorBidi"/>
          <w:kern w:val="2"/>
          <w:szCs w:val="22"/>
          <w14:ligatures w14:val="standardContextual"/>
        </w:rPr>
        <w:tab/>
      </w:r>
      <w:r w:rsidR="00162802">
        <w:t>With clustered UE distribution in UMa Scenario, the presence of co-channel inter-sector and co-channel inter-gNB inter-subband CLI impacts the SBFD performance and hinders any gain on the UL UPT in medium and high loads with respect to static TDD. Gains are only observed in the 5</w:t>
      </w:r>
      <w:r w:rsidR="00162802" w:rsidRPr="00EB4D9C">
        <w:rPr>
          <w:vertAlign w:val="superscript"/>
        </w:rPr>
        <w:t>th</w:t>
      </w:r>
      <w:r w:rsidR="00162802">
        <w:t xml:space="preserve"> percentile UL UPT for a low traffic load scenario, when SBFD is compared to static TDD with 23 dBm transmit power, in which the SBFD UL throughput is ~4.5 times larger than the static TDD UL UPT. However, the improvement is only observed when assuming optimistic inter-sector isolation conditions, and the same antenna gain. In this scenario, static TDD with PC2 UEs achieves 80% of the gain that SBFD provides without any degradation in the DL UPT performance. In all other scenarios, static TDD with PC2 UEs outperforms SBFD.</w:t>
      </w:r>
    </w:p>
    <w:p w14:paraId="5ED835F4"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lang w:val=""/>
        </w:rPr>
        <w:t>Observation 2</w:t>
      </w:r>
      <w:r w:rsidRPr="00EB4D9C">
        <w:rPr>
          <w:lang w:val=""/>
        </w:rPr>
        <w:t>:</w:t>
      </w:r>
      <w:r>
        <w:rPr>
          <w:rFonts w:asciiTheme="minorHAnsi" w:eastAsiaTheme="minorEastAsia" w:hAnsiTheme="minorHAnsi" w:cstheme="minorBidi"/>
          <w:kern w:val="2"/>
          <w:szCs w:val="22"/>
          <w14:ligatures w14:val="standardContextual"/>
        </w:rPr>
        <w:tab/>
      </w:r>
      <w:r>
        <w:t>With clustered UE distribution in UMa Scenario, there is significant degradation of UE DL throughput due to UE-UE CLI even at low load. This mainly occurs when one or more coverage limited UEs transmit over a few, e.g. 4, RBs with full 23 dBm UL transmit power which generates large amount of UL leakage interference to other UEs receiving in DL.</w:t>
      </w:r>
    </w:p>
    <w:p w14:paraId="279AC7CE"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3</w:t>
      </w:r>
      <w:r>
        <w:t>:</w:t>
      </w:r>
      <w:r>
        <w:rPr>
          <w:rFonts w:asciiTheme="minorHAnsi" w:eastAsiaTheme="minorEastAsia" w:hAnsiTheme="minorHAnsi" w:cstheme="minorBidi"/>
          <w:kern w:val="2"/>
          <w:szCs w:val="22"/>
          <w14:ligatures w14:val="standardContextual"/>
        </w:rPr>
        <w:tab/>
      </w:r>
      <w:r>
        <w:t>For Deployment Case 1 FR1 Indoor Office scenario and large packet size:</w:t>
      </w:r>
    </w:p>
    <w:p w14:paraId="77EFEE78"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eastAsia="Malgun Gothic"/>
        </w:rPr>
        <w:t>-</w:t>
      </w:r>
      <w:r>
        <w:rPr>
          <w:rFonts w:asciiTheme="minorHAnsi" w:eastAsiaTheme="minorEastAsia" w:hAnsiTheme="minorHAnsi" w:cstheme="minorBidi"/>
          <w:kern w:val="2"/>
          <w:szCs w:val="22"/>
          <w14:ligatures w14:val="standardContextual"/>
        </w:rPr>
        <w:tab/>
      </w:r>
      <w:r>
        <w:t>SBFD XXXXX and static TDD DDDSU provide almost identical UL and DL performance.</w:t>
      </w:r>
    </w:p>
    <w:p w14:paraId="4A9C5A1E"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eastAsia="Malgun Gothic"/>
        </w:rPr>
        <w:t>-</w:t>
      </w:r>
      <w:r>
        <w:rPr>
          <w:rFonts w:asciiTheme="minorHAnsi" w:eastAsiaTheme="minorEastAsia" w:hAnsiTheme="minorHAnsi" w:cstheme="minorBidi"/>
          <w:kern w:val="2"/>
          <w:szCs w:val="22"/>
          <w14:ligatures w14:val="standardContextual"/>
        </w:rPr>
        <w:tab/>
      </w:r>
      <w:r>
        <w:t>SBFD XXXXU provides 50% to 70% UL UPT improvement at the expense of a DL UPT degradation of approximately 20% at low and medium load, and up to 70% in the 5%-ile DL average UPT at high loads.</w:t>
      </w:r>
    </w:p>
    <w:p w14:paraId="6B3A19B9"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eastAsia="Malgun Gothic"/>
        </w:rPr>
        <w:t>-</w:t>
      </w:r>
      <w:r>
        <w:rPr>
          <w:rFonts w:asciiTheme="minorHAnsi" w:eastAsiaTheme="minorEastAsia" w:hAnsiTheme="minorHAnsi" w:cstheme="minorBidi"/>
          <w:kern w:val="2"/>
          <w:szCs w:val="22"/>
          <w14:ligatures w14:val="standardContextual"/>
        </w:rPr>
        <w:tab/>
      </w:r>
      <w:r>
        <w:t>For low and medium loads, dynamic TDD provides a UL UPT gain between 100% to 150% as compared static TDD and SBFD XXXXX, and up to 65% gain over SBFD XXXXU. Contrary to SBFD XXXXU, dynamic TDD does not come at the expense of significantly worse DL average UPT performance.</w:t>
      </w:r>
    </w:p>
    <w:p w14:paraId="2EF9AC78"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4</w:t>
      </w:r>
      <w:r>
        <w:t>:</w:t>
      </w:r>
      <w:r>
        <w:rPr>
          <w:rFonts w:asciiTheme="minorHAnsi" w:eastAsiaTheme="minorEastAsia" w:hAnsiTheme="minorHAnsi" w:cstheme="minorBidi"/>
          <w:kern w:val="2"/>
          <w:szCs w:val="22"/>
          <w14:ligatures w14:val="standardContextual"/>
        </w:rPr>
        <w:tab/>
      </w:r>
      <w:r>
        <w:t>For Deployment Case 1 FR1 Indoor Office scenario and small packet size:</w:t>
      </w:r>
    </w:p>
    <w:p w14:paraId="3B5A3E8D"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SBFD XXXXX and XXXXU provides approximately 50% higher UL 5%/50%/95%-ile UL UPT performance compared to static TDD.</w:t>
      </w:r>
    </w:p>
    <w:p w14:paraId="101E8197"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SBFD XXXXX provides also a small 3% to 10% DL UPT gain over static TDD, while SBFD XXXXU performs worse than static TDD in DL in most of the cases.</w:t>
      </w:r>
    </w:p>
    <w:p w14:paraId="7D5E3393"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5</w:t>
      </w:r>
      <w:r>
        <w:t>:</w:t>
      </w:r>
      <w:r>
        <w:rPr>
          <w:rFonts w:asciiTheme="minorHAnsi" w:eastAsiaTheme="minorEastAsia" w:hAnsiTheme="minorHAnsi" w:cstheme="minorBidi"/>
          <w:kern w:val="2"/>
          <w:szCs w:val="22"/>
          <w14:ligatures w14:val="standardContextual"/>
        </w:rPr>
        <w:tab/>
      </w:r>
      <w:r>
        <w:t>For Deployment Case 1 FR2 Indoor Office scenario and small packet size:</w:t>
      </w:r>
    </w:p>
    <w:p w14:paraId="21ED97AC"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SBFD offers up to 50% UL throughput improvement for all load conditions.</w:t>
      </w:r>
    </w:p>
    <w:p w14:paraId="32E07255" w14:textId="77777777" w:rsidR="00162802" w:rsidRDefault="00162802" w:rsidP="006512C6">
      <w:pPr>
        <w:pStyle w:val="TOC1"/>
        <w:ind w:left="1134"/>
        <w:rPr>
          <w:rFonts w:asciiTheme="minorHAnsi" w:eastAsiaTheme="minorEastAsia" w:hAnsiTheme="minorHAnsi" w:cstheme="minorBidi"/>
          <w:kern w:val="2"/>
          <w:szCs w:val="22"/>
          <w14:ligatures w14:val="standardContextual"/>
        </w:rPr>
      </w:pPr>
      <w:r w:rsidRPr="00EB4D9C">
        <w:rPr>
          <w:rFonts w:ascii="Symbol" w:hAnsi="Symbol"/>
        </w:rPr>
        <w:t></w:t>
      </w:r>
      <w:r>
        <w:rPr>
          <w:rFonts w:asciiTheme="minorHAnsi" w:eastAsiaTheme="minorEastAsia" w:hAnsiTheme="minorHAnsi" w:cstheme="minorBidi"/>
          <w:kern w:val="2"/>
          <w:szCs w:val="22"/>
          <w14:ligatures w14:val="standardContextual"/>
        </w:rPr>
        <w:tab/>
      </w:r>
      <w:r>
        <w:t>In the DL direction, SBFD outperforms static TDD most of the time by a small margin of around 5%.</w:t>
      </w:r>
    </w:p>
    <w:p w14:paraId="678F005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6</w:t>
      </w:r>
      <w:r>
        <w:t>:</w:t>
      </w:r>
      <w:r>
        <w:rPr>
          <w:rFonts w:asciiTheme="minorHAnsi" w:eastAsiaTheme="minorEastAsia" w:hAnsiTheme="minorHAnsi" w:cstheme="minorBidi"/>
          <w:kern w:val="2"/>
          <w:szCs w:val="22"/>
          <w14:ligatures w14:val="standardContextual"/>
        </w:rPr>
        <w:tab/>
      </w:r>
      <w:r>
        <w:t>The dynamic SBFD results in a FR-1 indoor office scenario show that dynamic SBFD provides a DL performance improvement of 35% when compared to a semi-static SBFD configuration</w:t>
      </w:r>
      <w:r w:rsidR="00D35F43">
        <w:t xml:space="preserve"> (XXXXU).</w:t>
      </w:r>
      <w:r>
        <w:t xml:space="preserve"> In the UL, the results show that the performance of dynamic SBFD is comparable to the performance of semi-static SBFD (XXXXU</w:t>
      </w:r>
      <w:r w:rsidR="00D35F43">
        <w:t>) and provides over 70% improvement over semi-static SBFD XXXXX and static TDD DDDSU.</w:t>
      </w:r>
      <w:r>
        <w:t xml:space="preserve"> In other words, dynamic SBFD provides comparable UL performance to semi-static SBFD, but without any degradation to the DL performance, when compared to static TDD.</w:t>
      </w:r>
    </w:p>
    <w:p w14:paraId="740D0529"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7</w:t>
      </w:r>
      <w:r>
        <w:t>:</w:t>
      </w:r>
      <w:r>
        <w:rPr>
          <w:rFonts w:asciiTheme="minorHAnsi" w:eastAsiaTheme="minorEastAsia" w:hAnsiTheme="minorHAnsi" w:cstheme="minorBidi"/>
          <w:kern w:val="2"/>
          <w:szCs w:val="22"/>
          <w14:ligatures w14:val="standardContextual"/>
        </w:rPr>
        <w:tab/>
      </w:r>
      <w:r>
        <w:t>The dynamic SBFD results in a FR-1 indoor office scenario show that in low load and medium load, the DL average UPT of Dynamic SBFD outperforms Dynamic TDD. When the UL average UPT is compared, dynamic SBFD only outperforms dynamic TDD in high load.</w:t>
      </w:r>
    </w:p>
    <w:p w14:paraId="328BE3E4"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8</w:t>
      </w:r>
      <w:r>
        <w:t>:</w:t>
      </w:r>
      <w:r>
        <w:rPr>
          <w:rFonts w:asciiTheme="minorHAnsi" w:eastAsiaTheme="minorEastAsia" w:hAnsiTheme="minorHAnsi" w:cstheme="minorBidi"/>
          <w:kern w:val="2"/>
          <w:szCs w:val="22"/>
          <w14:ligatures w14:val="standardContextual"/>
        </w:rPr>
        <w:tab/>
      </w:r>
      <w:r>
        <w:t>SBFD operation in symbols configured as DL improves the UL performance at the cost of DL performance. Dynamic adaptation of the frame structure based on traffic changing, for example, by converting SBFD symbols to DL-only, or allowing DL receptions outside the DL subband is beneficial, since it allows adaptation to the current traffic conditions by dynamically falling back to TDD.</w:t>
      </w:r>
    </w:p>
    <w:p w14:paraId="4739B812"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lang w:eastAsia="zh-CN"/>
        </w:rPr>
        <w:t>Observation 9</w:t>
      </w:r>
      <w:r>
        <w:rPr>
          <w:lang w:eastAsia="zh-CN"/>
        </w:rPr>
        <w:t>:</w:t>
      </w:r>
      <w:r>
        <w:rPr>
          <w:rFonts w:asciiTheme="minorHAnsi" w:eastAsiaTheme="minorEastAsia" w:hAnsiTheme="minorHAnsi" w:cstheme="minorBidi"/>
          <w:kern w:val="2"/>
          <w:szCs w:val="22"/>
          <w14:ligatures w14:val="standardContextual"/>
        </w:rPr>
        <w:tab/>
      </w:r>
      <w:r>
        <w:rPr>
          <w:lang w:eastAsia="zh-CN"/>
        </w:rPr>
        <w:t>If the SBFD symbol is dynamically converted to a DL-only or UL-only symbol, it is not characterized by DL/UL subbands and guardband(s).</w:t>
      </w:r>
    </w:p>
    <w:p w14:paraId="7767B309"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lang w:eastAsia="zh-CN"/>
        </w:rPr>
        <w:t>Observation 10</w:t>
      </w:r>
      <w:r>
        <w:rPr>
          <w:lang w:eastAsia="zh-CN"/>
        </w:rPr>
        <w:t>:</w:t>
      </w:r>
      <w:r>
        <w:rPr>
          <w:rFonts w:asciiTheme="minorHAnsi" w:eastAsiaTheme="minorEastAsia" w:hAnsiTheme="minorHAnsi" w:cstheme="minorBidi"/>
          <w:kern w:val="2"/>
          <w:szCs w:val="22"/>
          <w14:ligatures w14:val="standardContextual"/>
        </w:rPr>
        <w:tab/>
      </w:r>
      <w:r w:rsidRPr="00EB4D9C">
        <w:rPr>
          <w:bCs/>
          <w:iCs/>
          <w:lang w:eastAsia="zh-CN"/>
        </w:rPr>
        <w:t>Symbols configured as flexible in TDD-UL-DL-ConfigCommon can be used for DL or UL since Rel-15.</w:t>
      </w:r>
    </w:p>
    <w:p w14:paraId="5E102FB5"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11</w:t>
      </w:r>
      <w:r>
        <w:t>:</w:t>
      </w:r>
      <w:r>
        <w:rPr>
          <w:rFonts w:asciiTheme="minorHAnsi" w:eastAsiaTheme="minorEastAsia" w:hAnsiTheme="minorHAnsi" w:cstheme="minorBidi"/>
          <w:kern w:val="2"/>
          <w:szCs w:val="22"/>
          <w14:ligatures w14:val="standardContextual"/>
        </w:rPr>
        <w:tab/>
      </w:r>
      <w:r>
        <w:t>Not all PRBs are suitable for the configuration of the UL subband, for example, those configured for SSB or CORESET0 transmission (if allowed in SBFD symbols). Using the frequency allocated to the transmission of the SSB or CORESET0 as reference, and an offset for the configuration of the UL subband, can reduce the configurable range and number of bits used to indicate the UL subband to the UE.</w:t>
      </w:r>
    </w:p>
    <w:p w14:paraId="07AA841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12</w:t>
      </w:r>
      <w:r>
        <w:t>:</w:t>
      </w:r>
      <w:r>
        <w:rPr>
          <w:rFonts w:asciiTheme="minorHAnsi" w:eastAsiaTheme="minorEastAsia" w:hAnsiTheme="minorHAnsi" w:cstheme="minorBidi"/>
          <w:kern w:val="2"/>
          <w:szCs w:val="22"/>
          <w14:ligatures w14:val="standardContextual"/>
        </w:rPr>
        <w:tab/>
      </w:r>
      <w:r>
        <w:t>The basic BWP based scheme is rather straightforward but has severe UE peak rate and signaling overhead issue.</w:t>
      </w:r>
    </w:p>
    <w:p w14:paraId="339A1B08"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13</w:t>
      </w:r>
      <w:r>
        <w:t>:</w:t>
      </w:r>
      <w:r>
        <w:rPr>
          <w:rFonts w:asciiTheme="minorHAnsi" w:eastAsiaTheme="minorEastAsia" w:hAnsiTheme="minorHAnsi" w:cstheme="minorBidi"/>
          <w:kern w:val="2"/>
          <w:szCs w:val="22"/>
          <w14:ligatures w14:val="standardContextual"/>
        </w:rPr>
        <w:tab/>
      </w:r>
      <w:r>
        <w:t>For the advanced BWP based scheme, there should be no additional gap due to BWP switch in the transition from SBFD slots to TDD slots, and vice versa.</w:t>
      </w:r>
    </w:p>
    <w:p w14:paraId="3A0BCFFB"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14</w:t>
      </w:r>
      <w:r>
        <w:t>:</w:t>
      </w:r>
      <w:r>
        <w:rPr>
          <w:rFonts w:asciiTheme="minorHAnsi" w:eastAsiaTheme="minorEastAsia" w:hAnsiTheme="minorHAnsi" w:cstheme="minorBidi"/>
          <w:kern w:val="2"/>
          <w:szCs w:val="22"/>
          <w14:ligatures w14:val="standardContextual"/>
        </w:rPr>
        <w:tab/>
      </w:r>
      <w:r>
        <w:t>In terms of digital filter bandwidth adaptation at the UE, there is substantially no difference between the RB-set based and the advanced BWP based approach.</w:t>
      </w:r>
    </w:p>
    <w:p w14:paraId="7236B45C"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6512C6">
        <w:rPr>
          <w:b/>
          <w:bCs/>
        </w:rPr>
        <w:t>Observation 15</w:t>
      </w:r>
      <w:r>
        <w:t>:</w:t>
      </w:r>
      <w:r>
        <w:rPr>
          <w:rFonts w:asciiTheme="minorHAnsi" w:eastAsiaTheme="minorEastAsia" w:hAnsiTheme="minorHAnsi" w:cstheme="minorBidi"/>
          <w:kern w:val="2"/>
          <w:szCs w:val="22"/>
          <w14:ligatures w14:val="standardContextual"/>
        </w:rPr>
        <w:tab/>
      </w:r>
      <w:r>
        <w:t>Unless new in-band emission requirements are specified, better UL transmission and DL reception filtering should not be considered as an advantage of any of the proposed schemes.</w:t>
      </w:r>
    </w:p>
    <w:p w14:paraId="48B58E7F"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16</w:t>
      </w:r>
      <w:r>
        <w:t>:</w:t>
      </w:r>
      <w:r>
        <w:rPr>
          <w:rFonts w:asciiTheme="minorHAnsi" w:eastAsiaTheme="minorEastAsia" w:hAnsiTheme="minorHAnsi" w:cstheme="minorBidi"/>
          <w:kern w:val="2"/>
          <w:szCs w:val="22"/>
          <w14:ligatures w14:val="standardContextual"/>
        </w:rPr>
        <w:tab/>
      </w:r>
      <w:r>
        <w:t>Operation according to the basic BWP based scheme is not precluded by RB-set based signaling.</w:t>
      </w:r>
    </w:p>
    <w:p w14:paraId="782879B2"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17</w:t>
      </w:r>
      <w:r>
        <w:t>:</w:t>
      </w:r>
      <w:r>
        <w:rPr>
          <w:rFonts w:asciiTheme="minorHAnsi" w:eastAsiaTheme="minorEastAsia" w:hAnsiTheme="minorHAnsi" w:cstheme="minorBidi"/>
          <w:kern w:val="2"/>
          <w:szCs w:val="22"/>
          <w14:ligatures w14:val="standardContextual"/>
        </w:rPr>
        <w:tab/>
      </w:r>
      <w:r>
        <w:t>Allowing SBFD aware UEs to send PRACH and Msg3 in SBFD symbols can result in a decrease in latency of at least 2 slots, and at most 18 slots when compared to static TDD DDDSU, even if no additional source of delays, such as repetitions, are considered.</w:t>
      </w:r>
    </w:p>
    <w:p w14:paraId="43D1A085"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18</w:t>
      </w:r>
      <w:r>
        <w:t>:</w:t>
      </w:r>
      <w:r>
        <w:rPr>
          <w:rFonts w:asciiTheme="minorHAnsi" w:eastAsiaTheme="minorEastAsia" w:hAnsiTheme="minorHAnsi" w:cstheme="minorBidi"/>
          <w:kern w:val="2"/>
          <w:szCs w:val="22"/>
          <w14:ligatures w14:val="standardContextual"/>
        </w:rPr>
        <w:tab/>
      </w:r>
      <w:r>
        <w:t>UL coverage is limited by PRACH instead of PUSCH, so using SBFD slots for PRACH transmission can increase the UL coverag</w:t>
      </w:r>
      <w:r>
        <w:rPr>
          <w:lang w:eastAsia="zh-CN"/>
        </w:rPr>
        <w:t>e</w:t>
      </w:r>
      <w:r>
        <w:t xml:space="preserve"> up to 3dB or 6dB if the number of slots used to </w:t>
      </w:r>
      <w:r>
        <w:rPr>
          <w:lang w:eastAsia="zh-CN"/>
        </w:rPr>
        <w:t>consecutive</w:t>
      </w:r>
      <w:r>
        <w:t xml:space="preserve"> PRACH is increased to 2 or 4.</w:t>
      </w:r>
    </w:p>
    <w:p w14:paraId="5C07D5B9"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19</w:t>
      </w:r>
      <w:r>
        <w:t>:</w:t>
      </w:r>
      <w:r>
        <w:rPr>
          <w:rFonts w:asciiTheme="minorHAnsi" w:eastAsiaTheme="minorEastAsia" w:hAnsiTheme="minorHAnsi" w:cstheme="minorBidi"/>
          <w:kern w:val="2"/>
          <w:szCs w:val="22"/>
          <w14:ligatures w14:val="standardContextual"/>
        </w:rPr>
        <w:tab/>
      </w:r>
      <w:r>
        <w:t>Allowing SBFD aware UEs to send PRACH in SBFD symbols can reduce the number of collisions for sending PRACH since SBFD aware UEs would not necessarily be competing for PRACH resources with legacy UEs.</w:t>
      </w:r>
    </w:p>
    <w:p w14:paraId="339EF805"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20</w:t>
      </w:r>
      <w:r>
        <w:t>:</w:t>
      </w:r>
      <w:r>
        <w:rPr>
          <w:rFonts w:asciiTheme="minorHAnsi" w:eastAsiaTheme="minorEastAsia" w:hAnsiTheme="minorHAnsi" w:cstheme="minorBidi"/>
          <w:kern w:val="2"/>
          <w:szCs w:val="22"/>
          <w14:ligatures w14:val="standardContextual"/>
        </w:rPr>
        <w:tab/>
      </w:r>
      <w:r>
        <w:t>Enabling initial access in SBFD symbols can increase the PRACH capacity, PRACH coverage, as well as reduce initial access delay.</w:t>
      </w:r>
    </w:p>
    <w:p w14:paraId="401CB6CB"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21</w:t>
      </w:r>
      <w:r>
        <w:t>:</w:t>
      </w:r>
      <w:r>
        <w:rPr>
          <w:rFonts w:asciiTheme="minorHAnsi" w:eastAsiaTheme="minorEastAsia" w:hAnsiTheme="minorHAnsi" w:cstheme="minorBidi"/>
          <w:kern w:val="2"/>
          <w:szCs w:val="22"/>
          <w14:ligatures w14:val="standardContextual"/>
        </w:rPr>
        <w:tab/>
      </w:r>
      <w:r>
        <w:t>Current FDRA Type 1 does not support resource allocation across two DL subbands.</w:t>
      </w:r>
    </w:p>
    <w:p w14:paraId="289D621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22</w:t>
      </w:r>
      <w:r>
        <w:t>:</w:t>
      </w:r>
      <w:r>
        <w:rPr>
          <w:rFonts w:asciiTheme="minorHAnsi" w:eastAsiaTheme="minorEastAsia" w:hAnsiTheme="minorHAnsi" w:cstheme="minorBidi"/>
          <w:kern w:val="2"/>
          <w:szCs w:val="22"/>
          <w14:ligatures w14:val="standardContextual"/>
        </w:rPr>
        <w:tab/>
      </w:r>
      <w:r>
        <w:t>By changing the reference RB in type 1 FDRA allocation in case the UL subband is located between two DL subbands in the BWP, and wrap-around the PRB index it is possible to use the RIV and DCI formats to provide non-contiguous allocation in type-1 FDRA.</w:t>
      </w:r>
    </w:p>
    <w:p w14:paraId="651322C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23</w:t>
      </w:r>
      <w:r>
        <w:t>:</w:t>
      </w:r>
      <w:r>
        <w:rPr>
          <w:rFonts w:asciiTheme="minorHAnsi" w:eastAsiaTheme="minorEastAsia" w:hAnsiTheme="minorHAnsi" w:cstheme="minorBidi"/>
          <w:kern w:val="2"/>
          <w:szCs w:val="22"/>
          <w14:ligatures w14:val="standardContextual"/>
        </w:rPr>
        <w:tab/>
      </w:r>
      <w:r>
        <w:t>NR specification allows for symbols of different types in special slots. A transition from DL to UL requires a slot to consist of different symbol types, at least in the special slots, if the configuration is kept compatible with legacy TDD DL/UL configuration.</w:t>
      </w:r>
    </w:p>
    <w:p w14:paraId="2B6D7EAD"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24</w:t>
      </w:r>
      <w:r>
        <w:t>:</w:t>
      </w:r>
      <w:r>
        <w:rPr>
          <w:rFonts w:asciiTheme="minorHAnsi" w:eastAsiaTheme="minorEastAsia" w:hAnsiTheme="minorHAnsi" w:cstheme="minorBidi"/>
          <w:kern w:val="2"/>
          <w:szCs w:val="22"/>
          <w14:ligatures w14:val="standardContextual"/>
        </w:rPr>
        <w:tab/>
      </w:r>
      <w:r>
        <w:t>The obvious use cases for allowing a transmission to be mapped across SBFD and non-SBFD symbols in a slot are to allow full-slot scheduling of UL or DL transmission in the slot, without scheduling restriction.</w:t>
      </w:r>
    </w:p>
    <w:p w14:paraId="22A18A24"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25</w:t>
      </w:r>
      <w:r>
        <w:t>:</w:t>
      </w:r>
      <w:r>
        <w:rPr>
          <w:rFonts w:asciiTheme="minorHAnsi" w:eastAsiaTheme="minorEastAsia" w:hAnsiTheme="minorHAnsi" w:cstheme="minorBidi"/>
          <w:kern w:val="2"/>
          <w:szCs w:val="22"/>
          <w14:ligatures w14:val="standardContextual"/>
        </w:rPr>
        <w:tab/>
      </w:r>
      <w:r>
        <w:t>Several benefits of allowing a transmission to be mapped across SBFD and non-SBFD symbols in a slot could be observed, namely avoiding either scheduling restriction at the scheduler or specific handling rules at the UEs or offering better performance for data (or control bits, if any) thanks to interleaving the encoded bits across symbol types given that lower interference is expected in non-SBFD symbols.</w:t>
      </w:r>
    </w:p>
    <w:p w14:paraId="0D7FE2C8"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26</w:t>
      </w:r>
      <w:r>
        <w:t>:</w:t>
      </w:r>
      <w:r>
        <w:rPr>
          <w:rFonts w:asciiTheme="minorHAnsi" w:eastAsiaTheme="minorEastAsia" w:hAnsiTheme="minorHAnsi" w:cstheme="minorBidi"/>
          <w:kern w:val="2"/>
          <w:szCs w:val="22"/>
          <w14:ligatures w14:val="standardContextual"/>
        </w:rPr>
        <w:tab/>
      </w:r>
      <w:r>
        <w:t>If a long guard time is introduced to account for implementation limitation, the benefit of allowing a transmission to be mapped across SBFD and non-SBFD symbols in a slot would be less significant.</w:t>
      </w:r>
    </w:p>
    <w:p w14:paraId="28610C0F"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27</w:t>
      </w:r>
      <w:r>
        <w:t>:</w:t>
      </w:r>
      <w:r>
        <w:rPr>
          <w:rFonts w:asciiTheme="minorHAnsi" w:eastAsiaTheme="minorEastAsia" w:hAnsiTheme="minorHAnsi" w:cstheme="minorBidi"/>
          <w:kern w:val="2"/>
          <w:szCs w:val="22"/>
          <w14:ligatures w14:val="standardContextual"/>
        </w:rPr>
        <w:tab/>
      </w:r>
      <w:r>
        <w:t>Options available with current standard specifications to provide different CORESET configurations in different slots/symbols all present limitations in terms of either limited flexibility or excessive signaling overhead.</w:t>
      </w:r>
    </w:p>
    <w:p w14:paraId="2E18639B"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28</w:t>
      </w:r>
      <w:r>
        <w:t>:</w:t>
      </w:r>
      <w:r>
        <w:rPr>
          <w:rFonts w:asciiTheme="minorHAnsi" w:eastAsiaTheme="minorEastAsia" w:hAnsiTheme="minorHAnsi" w:cstheme="minorBidi"/>
          <w:kern w:val="2"/>
          <w:szCs w:val="22"/>
          <w14:ligatures w14:val="standardContextual"/>
        </w:rPr>
        <w:tab/>
      </w:r>
      <w:r>
        <w:t>For the CORESET/ search space configuration Option 2 and Option 4 captured in the conclusion of RAN1 #113, there is performance degradation when the PDCCH is mapped on REG/CCE outside of the DL subband</w:t>
      </w:r>
    </w:p>
    <w:p w14:paraId="60ECA7C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29</w:t>
      </w:r>
      <w:r>
        <w:t>:</w:t>
      </w:r>
      <w:r>
        <w:rPr>
          <w:rFonts w:asciiTheme="minorHAnsi" w:eastAsiaTheme="minorEastAsia" w:hAnsiTheme="minorHAnsi" w:cstheme="minorBidi"/>
          <w:kern w:val="2"/>
          <w:szCs w:val="22"/>
          <w14:ligatures w14:val="standardContextual"/>
        </w:rPr>
        <w:tab/>
      </w:r>
      <w:r>
        <w:t xml:space="preserve">Use of </w:t>
      </w:r>
      <w:r w:rsidRPr="00EB4D9C">
        <w:rPr>
          <w:rFonts w:ascii="Cambria Math" w:hAnsi="Cambria Math"/>
        </w:rPr>
        <w:t>N</w:t>
      </w:r>
      <w:r w:rsidRPr="00EB4D9C">
        <w:rPr>
          <w:rFonts w:ascii="Cambria Math" w:hAnsi="Cambria Math"/>
          <w:vertAlign w:val="subscript"/>
        </w:rPr>
        <w:t>TA, offset</w:t>
      </w:r>
      <w:r w:rsidRPr="00EB4D9C">
        <w:rPr>
          <w:rFonts w:ascii="Cambria Math" w:hAnsi="Cambria Math"/>
        </w:rPr>
        <w:t xml:space="preserve"> </w:t>
      </w:r>
      <w:r>
        <w:t>= 0 is only possible in SBFD slots and it increases the required guard time between the end of a DL transmission in a DL slot and the start of an UL reception in a SBFD slot.</w:t>
      </w:r>
    </w:p>
    <w:p w14:paraId="71ED6644" w14:textId="77777777" w:rsidR="00162802" w:rsidRDefault="00162802">
      <w:pPr>
        <w:pStyle w:val="TOC1"/>
        <w:tabs>
          <w:tab w:val="left" w:pos="1985"/>
        </w:tabs>
        <w:rPr>
          <w:rFonts w:asciiTheme="minorHAnsi" w:eastAsiaTheme="minorEastAsia" w:hAnsiTheme="minorHAnsi" w:cstheme="minorBidi"/>
          <w:kern w:val="2"/>
          <w:szCs w:val="22"/>
          <w14:ligatures w14:val="standardContextual"/>
        </w:rPr>
      </w:pPr>
      <w:r w:rsidRPr="001114EB">
        <w:rPr>
          <w:rFonts w:ascii="Cambria Math" w:hAnsi="Cambria Math"/>
          <w:b/>
          <w:bCs/>
        </w:rPr>
        <w:t>Observation 30</w:t>
      </w:r>
      <w:r w:rsidRPr="00EB4D9C">
        <w:rPr>
          <w:rFonts w:ascii="Cambria Math" w:hAnsi="Cambria Math"/>
        </w:rPr>
        <w:t>:</w:t>
      </w:r>
      <w:r>
        <w:rPr>
          <w:rFonts w:asciiTheme="minorHAnsi" w:eastAsiaTheme="minorEastAsia" w:hAnsiTheme="minorHAnsi" w:cstheme="minorBidi"/>
          <w:kern w:val="2"/>
          <w:szCs w:val="22"/>
          <w14:ligatures w14:val="standardContextual"/>
        </w:rPr>
        <w:tab/>
      </w:r>
      <w:r>
        <w:t xml:space="preserve">Use of </w:t>
      </w:r>
      <w:r w:rsidRPr="00EB4D9C">
        <w:rPr>
          <w:rFonts w:ascii="Cambria Math" w:hAnsi="Cambria Math"/>
        </w:rPr>
        <w:t>N</w:t>
      </w:r>
      <w:r w:rsidRPr="00EB4D9C">
        <w:rPr>
          <w:rFonts w:ascii="Cambria Math" w:hAnsi="Cambria Math"/>
          <w:vertAlign w:val="subscript"/>
        </w:rPr>
        <w:t>TA, offset</w:t>
      </w:r>
      <w:r w:rsidRPr="00EB4D9C">
        <w:rPr>
          <w:rFonts w:ascii="Cambria Math" w:hAnsi="Cambria Math"/>
        </w:rPr>
        <w:t xml:space="preserve"> = 0 </w:t>
      </w:r>
      <w:r>
        <w:t>in SBFD slots and N</w:t>
      </w:r>
      <w:r w:rsidRPr="00EB4D9C">
        <w:rPr>
          <w:vertAlign w:val="subscript"/>
        </w:rPr>
        <w:t>TA, offset</w:t>
      </w:r>
      <w:r>
        <w:t xml:space="preserve"> &gt; 0 in TDD UL slots further increases the required overhead needed to switch between legacy TDD DL/UL slots and SBFD slots.</w:t>
      </w:r>
    </w:p>
    <w:p w14:paraId="7F1FC838"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31</w:t>
      </w:r>
      <w:r>
        <w:t>:</w:t>
      </w:r>
      <w:r>
        <w:rPr>
          <w:rFonts w:asciiTheme="minorHAnsi" w:eastAsiaTheme="minorEastAsia" w:hAnsiTheme="minorHAnsi" w:cstheme="minorBidi"/>
          <w:kern w:val="2"/>
          <w:szCs w:val="22"/>
          <w14:ligatures w14:val="standardContextual"/>
        </w:rPr>
        <w:tab/>
      </w:r>
      <w:r>
        <w:t xml:space="preserve">One obvious way to mitigate </w:t>
      </w:r>
      <w:r w:rsidRPr="00EB4D9C">
        <w:rPr>
          <w:rFonts w:eastAsia="Microsoft YaHei"/>
          <w:color w:val="000000" w:themeColor="text1"/>
        </w:rPr>
        <w:t>intra-cell inter-subband UE-to-UE CLI is to tighten the UE in-band emission requirements</w:t>
      </w:r>
      <w:r>
        <w:t>. The UE being able to match its UL/DL digital filter’s bandwidth to the UL/DL subband in SBFD symbols may also help reducing the UE in/band emissions. However, such advance UE RF requirements are for RAN4 to be discussed.</w:t>
      </w:r>
    </w:p>
    <w:p w14:paraId="2CE7E8B7" w14:textId="77777777" w:rsidR="00162802" w:rsidRDefault="00162802">
      <w:pPr>
        <w:pStyle w:val="TOC1"/>
        <w:tabs>
          <w:tab w:val="left" w:pos="1701"/>
        </w:tabs>
        <w:rPr>
          <w:rFonts w:asciiTheme="minorHAnsi" w:eastAsiaTheme="minorEastAsia" w:hAnsiTheme="minorHAnsi" w:cstheme="minorBidi"/>
          <w:kern w:val="2"/>
          <w:szCs w:val="22"/>
          <w14:ligatures w14:val="standardContextual"/>
        </w:rPr>
      </w:pPr>
      <w:r w:rsidRPr="001114EB">
        <w:rPr>
          <w:b/>
          <w:bCs/>
        </w:rPr>
        <w:t>Observation 32</w:t>
      </w:r>
      <w:r>
        <w:t>:</w:t>
      </w:r>
      <w:r>
        <w:rPr>
          <w:rFonts w:asciiTheme="minorHAnsi" w:eastAsiaTheme="minorEastAsia" w:hAnsiTheme="minorHAnsi" w:cstheme="minorBidi"/>
          <w:kern w:val="2"/>
          <w:szCs w:val="22"/>
          <w14:ligatures w14:val="standardContextual"/>
        </w:rPr>
        <w:tab/>
      </w:r>
      <w:r>
        <w:t>In SBFD operation, new collision cases arise if the time between DL reception and UL transmission is less than the time required for Rx to Tx switching.</w:t>
      </w:r>
    </w:p>
    <w:p w14:paraId="05C855D7" w14:textId="489F046C" w:rsidR="00696134" w:rsidRDefault="00DB5D42" w:rsidP="001C05AC">
      <w:pPr>
        <w:spacing w:after="120"/>
        <w:jc w:val="both"/>
        <w:rPr>
          <w:rStyle w:val="normaltextrun"/>
          <w:color w:val="000000"/>
          <w:shd w:val="clear" w:color="auto" w:fill="FFFFFF"/>
        </w:rPr>
      </w:pPr>
      <w:r>
        <w:rPr>
          <w:rStyle w:val="normaltextrun"/>
          <w:color w:val="000000"/>
          <w:shd w:val="clear" w:color="auto" w:fill="FFFFFF"/>
        </w:rPr>
        <w:fldChar w:fldCharType="end"/>
      </w:r>
    </w:p>
    <w:p w14:paraId="53CD9119" w14:textId="5206E1F5" w:rsidR="00885580" w:rsidRDefault="00885580" w:rsidP="00885580">
      <w:pPr>
        <w:pStyle w:val="Heading1"/>
        <w:numPr>
          <w:ilvl w:val="0"/>
          <w:numId w:val="0"/>
        </w:numPr>
      </w:pPr>
      <w:r>
        <w:t>References</w:t>
      </w:r>
    </w:p>
    <w:p w14:paraId="794C8A94" w14:textId="051136DF" w:rsidR="00200B80" w:rsidRDefault="009034D3" w:rsidP="007E3910">
      <w:pPr>
        <w:pStyle w:val="ListParagraph"/>
        <w:numPr>
          <w:ilvl w:val="0"/>
          <w:numId w:val="4"/>
        </w:numPr>
        <w:jc w:val="both"/>
        <w:rPr>
          <w:sz w:val="20"/>
          <w:szCs w:val="20"/>
          <w:lang w:val="en-US"/>
        </w:rPr>
      </w:pPr>
      <w:r w:rsidRPr="009034D3">
        <w:rPr>
          <w:sz w:val="20"/>
          <w:szCs w:val="20"/>
          <w:lang w:val="en-US"/>
        </w:rPr>
        <w:t>RP-223041</w:t>
      </w:r>
      <w:r w:rsidR="005C2F32" w:rsidRPr="0075491A">
        <w:rPr>
          <w:sz w:val="20"/>
          <w:szCs w:val="20"/>
          <w:lang w:val="en-US"/>
        </w:rPr>
        <w:t xml:space="preserve">, </w:t>
      </w:r>
      <w:r w:rsidR="00437E81">
        <w:rPr>
          <w:sz w:val="20"/>
          <w:szCs w:val="20"/>
          <w:lang w:val="en-US"/>
        </w:rPr>
        <w:t>“</w:t>
      </w:r>
      <w:r w:rsidR="005C2F32" w:rsidRPr="0075491A">
        <w:rPr>
          <w:sz w:val="20"/>
          <w:szCs w:val="20"/>
          <w:lang w:val="en-US"/>
        </w:rPr>
        <w:t>Study on Evolution of NR Duplex Operation</w:t>
      </w:r>
      <w:r w:rsidR="00437E81">
        <w:rPr>
          <w:sz w:val="20"/>
          <w:szCs w:val="20"/>
          <w:lang w:val="en-US"/>
        </w:rPr>
        <w:t>”</w:t>
      </w:r>
      <w:r w:rsidR="005C2F32" w:rsidRPr="0075491A">
        <w:rPr>
          <w:sz w:val="20"/>
          <w:szCs w:val="20"/>
          <w:lang w:val="en-US"/>
        </w:rPr>
        <w:t>, CMCC</w:t>
      </w:r>
    </w:p>
    <w:p w14:paraId="64E7330B" w14:textId="22A0D584" w:rsidR="00F37F86" w:rsidRDefault="001003CC" w:rsidP="007E3910">
      <w:pPr>
        <w:pStyle w:val="ListParagraph"/>
        <w:numPr>
          <w:ilvl w:val="0"/>
          <w:numId w:val="4"/>
        </w:numPr>
        <w:jc w:val="both"/>
        <w:rPr>
          <w:sz w:val="20"/>
          <w:szCs w:val="20"/>
          <w:lang w:val="en-US"/>
        </w:rPr>
      </w:pPr>
      <w:bookmarkStart w:id="1361" w:name="_Ref134970240"/>
      <w:r w:rsidRPr="001003CC">
        <w:rPr>
          <w:sz w:val="20"/>
          <w:szCs w:val="20"/>
          <w:lang w:val="en-US"/>
        </w:rPr>
        <w:t>R1-</w:t>
      </w:r>
      <w:r w:rsidR="006B0D9B">
        <w:rPr>
          <w:sz w:val="20"/>
          <w:szCs w:val="20"/>
          <w:lang w:val="en-US"/>
        </w:rPr>
        <w:t>2306874</w:t>
      </w:r>
      <w:r>
        <w:rPr>
          <w:sz w:val="20"/>
          <w:szCs w:val="20"/>
          <w:lang w:val="en-US"/>
        </w:rPr>
        <w:t>, “On the evaluation methodology for NR duplexing enhancements”, Nokia, Nokia Shanghai Bell, RAN1 #113.</w:t>
      </w:r>
      <w:bookmarkEnd w:id="1361"/>
    </w:p>
    <w:p w14:paraId="0EC78F99" w14:textId="051136DF" w:rsidR="00A54137" w:rsidRDefault="00A54137" w:rsidP="007E3910">
      <w:pPr>
        <w:pStyle w:val="ListParagraph"/>
        <w:numPr>
          <w:ilvl w:val="0"/>
          <w:numId w:val="4"/>
        </w:numPr>
        <w:jc w:val="both"/>
        <w:rPr>
          <w:sz w:val="20"/>
          <w:szCs w:val="20"/>
          <w:lang w:val="en-US"/>
        </w:rPr>
      </w:pPr>
      <w:bookmarkStart w:id="1362" w:name="_Ref134616467"/>
      <w:r w:rsidRPr="00A71152">
        <w:rPr>
          <w:rFonts w:ascii="Times" w:hAnsi="Times" w:cs="Times"/>
          <w:sz w:val="20"/>
          <w:szCs w:val="20"/>
          <w:lang w:val="en-US"/>
        </w:rPr>
        <w:t>R1-2304031</w:t>
      </w:r>
      <w:r>
        <w:rPr>
          <w:rFonts w:ascii="Times" w:hAnsi="Times" w:cs="Times"/>
          <w:sz w:val="20"/>
          <w:szCs w:val="20"/>
          <w:lang w:val="en-US"/>
        </w:rPr>
        <w:t>, Summary #4 of subband non-overlapping full duplex, Moderator (CATT), RAN1 #112bis-e</w:t>
      </w:r>
      <w:bookmarkEnd w:id="1362"/>
    </w:p>
    <w:p w14:paraId="0208B858" w14:textId="1E0C90FC" w:rsidR="00AB4A0A" w:rsidRDefault="00AB4A0A" w:rsidP="007E3910">
      <w:pPr>
        <w:pStyle w:val="ListParagraph"/>
        <w:numPr>
          <w:ilvl w:val="0"/>
          <w:numId w:val="4"/>
        </w:numPr>
        <w:jc w:val="both"/>
        <w:rPr>
          <w:sz w:val="20"/>
          <w:szCs w:val="20"/>
          <w:lang w:val="en-US"/>
        </w:rPr>
      </w:pPr>
      <w:bookmarkStart w:id="1363" w:name="_Ref135033083"/>
      <w:r w:rsidRPr="00AB4A0A">
        <w:rPr>
          <w:sz w:val="20"/>
          <w:szCs w:val="20"/>
          <w:lang w:val="en-US"/>
        </w:rPr>
        <w:t>R1-2303016</w:t>
      </w:r>
      <w:r>
        <w:rPr>
          <w:sz w:val="20"/>
          <w:szCs w:val="20"/>
          <w:lang w:val="en-US"/>
        </w:rPr>
        <w:t>, “On subband non-overlapping full-duplex”, Nokia, Nokia Shanghai Bell, RAN1 #112bis</w:t>
      </w:r>
      <w:r w:rsidR="00C76640">
        <w:rPr>
          <w:sz w:val="20"/>
          <w:szCs w:val="20"/>
          <w:lang w:val="en-US"/>
        </w:rPr>
        <w:t>-e</w:t>
      </w:r>
      <w:bookmarkEnd w:id="1363"/>
    </w:p>
    <w:p w14:paraId="3B862275" w14:textId="3F212437" w:rsidR="007E54BD" w:rsidRDefault="009C0225">
      <w:pPr>
        <w:pStyle w:val="ListParagraph"/>
        <w:numPr>
          <w:ilvl w:val="0"/>
          <w:numId w:val="4"/>
        </w:numPr>
        <w:jc w:val="both"/>
        <w:rPr>
          <w:sz w:val="20"/>
          <w:szCs w:val="20"/>
          <w:lang w:val="en-US"/>
        </w:rPr>
      </w:pPr>
      <w:bookmarkStart w:id="1364" w:name="_Ref138766238"/>
      <w:r w:rsidRPr="001841DB">
        <w:rPr>
          <w:sz w:val="20"/>
          <w:szCs w:val="20"/>
          <w:lang w:val="en-US"/>
        </w:rPr>
        <w:t>R1-2306075,</w:t>
      </w:r>
      <w:r w:rsidR="00050EF9" w:rsidRPr="001841DB">
        <w:rPr>
          <w:sz w:val="20"/>
          <w:szCs w:val="20"/>
          <w:lang w:val="en-US"/>
        </w:rPr>
        <w:t xml:space="preserve"> Summary #3 of subband non-overlapping full duplex, Moderator (CATT), RAN1 #113</w:t>
      </w:r>
      <w:bookmarkEnd w:id="1364"/>
    </w:p>
    <w:p w14:paraId="780E2976" w14:textId="7B856623" w:rsidR="000F0016" w:rsidRDefault="000F0016">
      <w:pPr>
        <w:pStyle w:val="ListParagraph"/>
        <w:numPr>
          <w:ilvl w:val="0"/>
          <w:numId w:val="4"/>
        </w:numPr>
        <w:jc w:val="both"/>
        <w:rPr>
          <w:sz w:val="20"/>
          <w:szCs w:val="20"/>
          <w:lang w:val="en-US"/>
        </w:rPr>
      </w:pPr>
      <w:bookmarkStart w:id="1365" w:name="_Ref139362011"/>
      <w:r>
        <w:rPr>
          <w:sz w:val="20"/>
          <w:szCs w:val="20"/>
          <w:lang w:val="en-US"/>
        </w:rPr>
        <w:t xml:space="preserve">RSW-230026, </w:t>
      </w:r>
      <w:r w:rsidR="00582986" w:rsidRPr="00582986">
        <w:rPr>
          <w:sz w:val="20"/>
          <w:szCs w:val="20"/>
          <w:lang w:val="en-US"/>
        </w:rPr>
        <w:t>GSMA - prospective on R19 from MNOs</w:t>
      </w:r>
      <w:r w:rsidR="00582986">
        <w:rPr>
          <w:sz w:val="20"/>
          <w:szCs w:val="20"/>
          <w:lang w:val="en-US"/>
        </w:rPr>
        <w:t>, GSM association, RAN Rel-19 workshop</w:t>
      </w:r>
      <w:bookmarkEnd w:id="1365"/>
    </w:p>
    <w:p w14:paraId="441D2729" w14:textId="610EF77F" w:rsidR="00582986" w:rsidRPr="001841DB" w:rsidRDefault="00582986" w:rsidP="001841DB">
      <w:pPr>
        <w:pStyle w:val="ListParagraph"/>
        <w:numPr>
          <w:ilvl w:val="0"/>
          <w:numId w:val="4"/>
        </w:numPr>
        <w:jc w:val="both"/>
        <w:rPr>
          <w:sz w:val="20"/>
          <w:szCs w:val="20"/>
          <w:lang w:val="en-US"/>
        </w:rPr>
      </w:pPr>
      <w:bookmarkStart w:id="1366" w:name="_Ref139362012"/>
      <w:r w:rsidRPr="00582986">
        <w:rPr>
          <w:sz w:val="20"/>
          <w:szCs w:val="20"/>
          <w:lang w:val="en-US"/>
        </w:rPr>
        <w:t>RWS-230337</w:t>
      </w:r>
      <w:r>
        <w:rPr>
          <w:sz w:val="20"/>
          <w:szCs w:val="20"/>
          <w:lang w:val="en-US"/>
        </w:rPr>
        <w:t>, SK</w:t>
      </w:r>
      <w:r w:rsidR="00522059">
        <w:rPr>
          <w:sz w:val="20"/>
          <w:szCs w:val="20"/>
          <w:lang w:val="en-US"/>
        </w:rPr>
        <w:t xml:space="preserve"> telecom’s view on Rel-19, SK Telecom</w:t>
      </w:r>
      <w:bookmarkEnd w:id="1366"/>
    </w:p>
    <w:p w14:paraId="48CBFBDF" w14:textId="1DE6E54B" w:rsidR="00C85A3A" w:rsidRDefault="00C85A3A" w:rsidP="00867594">
      <w:pPr>
        <w:rPr>
          <w:lang w:val="en-US"/>
        </w:rPr>
      </w:pPr>
    </w:p>
    <w:p w14:paraId="3DF737C0" w14:textId="77777777" w:rsidR="00C85A3A" w:rsidRDefault="00C85A3A">
      <w:pPr>
        <w:overflowPunct/>
        <w:autoSpaceDE/>
        <w:autoSpaceDN/>
        <w:adjustRightInd/>
        <w:spacing w:after="0"/>
        <w:textAlignment w:val="auto"/>
        <w:rPr>
          <w:lang w:val="en-US"/>
        </w:rPr>
      </w:pPr>
      <w:r>
        <w:rPr>
          <w:lang w:val="en-US"/>
        </w:rPr>
        <w:br w:type="page"/>
      </w:r>
    </w:p>
    <w:p w14:paraId="5F7887D3" w14:textId="38711AA8" w:rsidR="00C85A3A" w:rsidRPr="00BE2F6F" w:rsidRDefault="00C85A3A" w:rsidP="00C85A3A">
      <w:pPr>
        <w:pStyle w:val="Heading1"/>
        <w:numPr>
          <w:ilvl w:val="0"/>
          <w:numId w:val="0"/>
        </w:numPr>
        <w:rPr>
          <w:lang w:val="en-US"/>
        </w:rPr>
      </w:pPr>
      <w:bookmarkStart w:id="1367" w:name="_Ref111111068"/>
      <w:r w:rsidRPr="00BE2F6F">
        <w:rPr>
          <w:lang w:val="en-US"/>
        </w:rPr>
        <w:t xml:space="preserve">Annex </w:t>
      </w:r>
      <w:r w:rsidR="00EE5630">
        <w:rPr>
          <w:lang w:val="en-US"/>
        </w:rPr>
        <w:t>A</w:t>
      </w:r>
      <w:r w:rsidRPr="00BE2F6F">
        <w:rPr>
          <w:lang w:val="en-US"/>
        </w:rPr>
        <w:t>: Detailed simulation assumptions for SBFD</w:t>
      </w:r>
      <w:bookmarkEnd w:id="1367"/>
    </w:p>
    <w:p w14:paraId="4C1E046D" w14:textId="09CE347C" w:rsidR="00696134" w:rsidRPr="002B6DA7" w:rsidRDefault="00696134" w:rsidP="00696134">
      <w:pPr>
        <w:pStyle w:val="Caption"/>
        <w:keepNext/>
        <w:spacing w:after="0"/>
        <w:jc w:val="center"/>
        <w:rPr>
          <w:b w:val="0"/>
          <w:bCs/>
          <w:lang w:val="en-US"/>
        </w:rPr>
      </w:pPr>
      <w:bookmarkStart w:id="1368" w:name="_Ref111043115"/>
      <w:r w:rsidRPr="002B6DA7">
        <w:rPr>
          <w:b w:val="0"/>
          <w:bCs/>
          <w:color w:val="000000" w:themeColor="text1"/>
          <w:lang w:val="en-US"/>
        </w:rPr>
        <w:t xml:space="preserve">Table </w:t>
      </w:r>
      <w:bookmarkEnd w:id="1368"/>
      <w:r>
        <w:rPr>
          <w:b w:val="0"/>
          <w:bCs/>
          <w:color w:val="000000" w:themeColor="text1"/>
          <w:lang w:val="en-US"/>
        </w:rPr>
        <w:t>B1</w:t>
      </w:r>
      <w:r w:rsidRPr="002B6DA7">
        <w:rPr>
          <w:b w:val="0"/>
          <w:bCs/>
          <w:color w:val="000000" w:themeColor="text1"/>
          <w:lang w:val="en-US"/>
        </w:rPr>
        <w:t>: Si</w:t>
      </w:r>
      <w:r w:rsidRPr="002B6DA7">
        <w:rPr>
          <w:b w:val="0"/>
          <w:bCs/>
          <w:lang w:val="en-US"/>
        </w:rPr>
        <w:t xml:space="preserve">mulation assumptions for FR1 </w:t>
      </w:r>
      <w:proofErr w:type="spellStart"/>
      <w:r w:rsidRPr="002B6DA7">
        <w:rPr>
          <w:b w:val="0"/>
          <w:bCs/>
          <w:lang w:val="en-US"/>
        </w:rPr>
        <w:t>UMa</w:t>
      </w:r>
      <w:proofErr w:type="spellEnd"/>
      <w:r w:rsidRPr="002B6DA7">
        <w:rPr>
          <w:b w:val="0"/>
          <w:bCs/>
          <w:lang w:val="en-US"/>
        </w:rPr>
        <w:t xml:space="preserve">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696134" w:rsidRPr="002B6DA7" w14:paraId="30BADDB7"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369CB6B2" w14:textId="77777777" w:rsidR="00696134" w:rsidRPr="002B6DA7" w:rsidRDefault="00696134">
            <w:pPr>
              <w:keepNext/>
              <w:keepLines/>
              <w:overflowPunct/>
              <w:autoSpaceDE/>
              <w:autoSpaceDN/>
              <w:adjustRightInd/>
              <w:spacing w:after="0"/>
              <w:textAlignment w:val="auto"/>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35199020" w14:textId="77777777" w:rsidR="00696134" w:rsidRPr="002B6DA7" w:rsidRDefault="00696134">
            <w:pPr>
              <w:keepNext/>
              <w:keepLines/>
              <w:overflowPunct/>
              <w:autoSpaceDE/>
              <w:autoSpaceDN/>
              <w:adjustRightInd/>
              <w:spacing w:after="0"/>
              <w:textAlignment w:val="auto"/>
              <w:rPr>
                <w:rFonts w:eastAsia="Symbol"/>
                <w:b/>
                <w:sz w:val="18"/>
                <w:lang w:val="en-US" w:eastAsia="zh-CN"/>
              </w:rPr>
            </w:pPr>
            <w:r w:rsidRPr="002B6DA7">
              <w:rPr>
                <w:rFonts w:eastAsia="Symbol"/>
                <w:b/>
                <w:sz w:val="18"/>
                <w:lang w:val="en-US" w:eastAsia="zh-CN"/>
              </w:rPr>
              <w:t>Value</w:t>
            </w:r>
          </w:p>
        </w:tc>
      </w:tr>
      <w:tr w:rsidR="00696134" w:rsidRPr="002B6DA7" w14:paraId="7EEEE5E0"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BD870E7"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097002F9" w14:textId="77777777" w:rsidR="00696134" w:rsidRPr="002B6DA7" w:rsidRDefault="00696134">
            <w:pPr>
              <w:spacing w:after="0"/>
              <w:contextualSpacing/>
              <w:rPr>
                <w:rFonts w:eastAsia="Symbol"/>
                <w:sz w:val="18"/>
                <w:lang w:val="en-US"/>
              </w:rPr>
            </w:pPr>
            <w:r w:rsidRPr="002B6DA7">
              <w:rPr>
                <w:rFonts w:eastAsia="Symbol"/>
                <w:sz w:val="18"/>
                <w:lang w:val="en-US"/>
              </w:rPr>
              <w:t xml:space="preserve">Urban Macro (TR 38.901) with 7x3=21 cells and </w:t>
            </w:r>
            <w:proofErr w:type="gramStart"/>
            <w:r w:rsidRPr="002B6DA7">
              <w:rPr>
                <w:rFonts w:eastAsia="Symbol"/>
                <w:sz w:val="18"/>
                <w:lang w:val="en-US"/>
              </w:rPr>
              <w:t>500 meter</w:t>
            </w:r>
            <w:proofErr w:type="gramEnd"/>
            <w:r w:rsidRPr="002B6DA7">
              <w:rPr>
                <w:rFonts w:eastAsia="Symbol"/>
                <w:sz w:val="18"/>
                <w:lang w:val="en-US"/>
              </w:rPr>
              <w:t xml:space="preserve"> ISD.</w:t>
            </w:r>
          </w:p>
          <w:p w14:paraId="292EAEA6" w14:textId="77777777" w:rsidR="00696134" w:rsidRPr="002B6DA7" w:rsidRDefault="00696134">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696134" w:rsidRPr="002B6DA7" w14:paraId="631FC86A"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2DF5BED5"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47A6BFFB" w14:textId="77777777" w:rsidR="00696134" w:rsidRPr="002B6DA7" w:rsidRDefault="00696134">
            <w:pPr>
              <w:spacing w:after="0"/>
              <w:contextualSpacing/>
              <w:rPr>
                <w:rFonts w:eastAsia="Symbol"/>
                <w:sz w:val="18"/>
                <w:lang w:val="en-US"/>
              </w:rPr>
            </w:pPr>
            <w:r w:rsidRPr="002B6DA7">
              <w:rPr>
                <w:rFonts w:eastAsia="Symbol"/>
                <w:sz w:val="18"/>
                <w:lang w:val="en-US"/>
              </w:rPr>
              <w:t>30 kHz</w:t>
            </w:r>
          </w:p>
        </w:tc>
      </w:tr>
      <w:tr w:rsidR="00696134" w:rsidRPr="002B6DA7" w14:paraId="1C058E12"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5558683E"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3BA3F548" w14:textId="77777777" w:rsidR="00696134" w:rsidRPr="002B6DA7" w:rsidRDefault="00696134">
            <w:pPr>
              <w:spacing w:after="0"/>
              <w:contextualSpacing/>
              <w:rPr>
                <w:rFonts w:eastAsia="Symbol"/>
                <w:sz w:val="18"/>
                <w:lang w:val="en-US"/>
              </w:rPr>
            </w:pPr>
            <w:r w:rsidRPr="002B6DA7">
              <w:rPr>
                <w:rFonts w:eastAsia="Symbol"/>
                <w:sz w:val="18"/>
                <w:lang w:val="en-US"/>
              </w:rPr>
              <w:t>100 MHz, 273 RBs</w:t>
            </w:r>
          </w:p>
        </w:tc>
      </w:tr>
      <w:tr w:rsidR="00696134" w:rsidRPr="002B6DA7" w14:paraId="4C25CE8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1C2803E3"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gNB total transmit power</w:t>
            </w:r>
          </w:p>
        </w:tc>
        <w:tc>
          <w:tcPr>
            <w:tcW w:w="7153" w:type="dxa"/>
            <w:tcBorders>
              <w:top w:val="single" w:sz="4" w:space="0" w:color="auto"/>
              <w:left w:val="single" w:sz="4" w:space="0" w:color="auto"/>
              <w:bottom w:val="single" w:sz="4" w:space="0" w:color="auto"/>
              <w:right w:val="single" w:sz="4" w:space="0" w:color="auto"/>
            </w:tcBorders>
          </w:tcPr>
          <w:p w14:paraId="4629C98C" w14:textId="77777777" w:rsidR="00696134" w:rsidRPr="002B6DA7" w:rsidRDefault="00696134">
            <w:pPr>
              <w:spacing w:after="0"/>
              <w:contextualSpacing/>
              <w:rPr>
                <w:rFonts w:eastAsia="Symbol"/>
                <w:sz w:val="18"/>
                <w:lang w:val="en-US"/>
              </w:rPr>
            </w:pPr>
            <w:r w:rsidRPr="002B6DA7">
              <w:rPr>
                <w:rFonts w:eastAsia="Symbol"/>
                <w:sz w:val="18"/>
                <w:lang w:val="en-US"/>
              </w:rPr>
              <w:t>53 dBm</w:t>
            </w:r>
          </w:p>
        </w:tc>
      </w:tr>
      <w:tr w:rsidR="00696134" w:rsidRPr="002B6DA7" w14:paraId="4C1CA5E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1712CF8"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4DD6FFB5"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23 dBm</w:t>
            </w:r>
          </w:p>
        </w:tc>
      </w:tr>
      <w:tr w:rsidR="00696134" w:rsidRPr="002B6DA7" w14:paraId="1B99B7A1"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214B4DC" w14:textId="77777777" w:rsidR="00696134" w:rsidRPr="002B6DA7" w:rsidRDefault="00696134">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6F6B02A8"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 xml:space="preserve">UE clustering in line with RAN1#111 agreements: 10 UEs per cell at </w:t>
            </w:r>
            <w:proofErr w:type="gramStart"/>
            <w:r w:rsidRPr="002B6DA7">
              <w:rPr>
                <w:rFonts w:eastAsia="Symbol"/>
                <w:sz w:val="18"/>
                <w:lang w:val="en-US"/>
              </w:rPr>
              <w:t>1.5 meter</w:t>
            </w:r>
            <w:proofErr w:type="gramEnd"/>
            <w:r w:rsidRPr="002B6DA7">
              <w:rPr>
                <w:rFonts w:eastAsia="Symbol"/>
                <w:sz w:val="18"/>
                <w:lang w:val="en-US"/>
              </w:rPr>
              <w:t xml:space="preserve"> height. 80% of the UEs in 1 cluster per macro cell area with </w:t>
            </w:r>
            <w:proofErr w:type="gramStart"/>
            <w:r w:rsidRPr="002B6DA7">
              <w:rPr>
                <w:rFonts w:eastAsia="Symbol"/>
                <w:sz w:val="18"/>
                <w:lang w:val="en-US"/>
              </w:rPr>
              <w:t>25 meter</w:t>
            </w:r>
            <w:proofErr w:type="gramEnd"/>
            <w:r w:rsidRPr="002B6DA7">
              <w:rPr>
                <w:rFonts w:eastAsia="Symbol"/>
                <w:sz w:val="18"/>
                <w:lang w:val="en-US"/>
              </w:rPr>
              <w:t xml:space="preserve"> radius.</w:t>
            </w:r>
          </w:p>
          <w:p w14:paraId="7751E3B6"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UEs dropped within the UE cluster are indoor with 3km/h; UEs dropped outside the UE cluster are outdoor in car with 30km/h</w:t>
            </w:r>
          </w:p>
        </w:tc>
      </w:tr>
      <w:tr w:rsidR="00696134" w:rsidRPr="002B6DA7" w14:paraId="524A98D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3264E5D"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1F992C70"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tc>
      </w:tr>
      <w:tr w:rsidR="00696134" w:rsidRPr="002B6DA7" w14:paraId="6FA208BD"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12D5FC8C"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3646402E" w14:textId="77777777" w:rsidR="00696134" w:rsidRPr="002B6DA7" w:rsidRDefault="00696134">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-UE: TR 38.901 </w:t>
            </w:r>
            <w:proofErr w:type="spellStart"/>
            <w:r w:rsidRPr="002B6DA7">
              <w:rPr>
                <w:rFonts w:eastAsia="Symbol"/>
                <w:sz w:val="18"/>
                <w:lang w:val="en-US"/>
              </w:rPr>
              <w:t>UMa</w:t>
            </w:r>
            <w:proofErr w:type="spellEnd"/>
          </w:p>
          <w:p w14:paraId="4018FCD4" w14:textId="77777777" w:rsidR="00696134" w:rsidRPr="002B6DA7" w:rsidRDefault="00696134">
            <w:pPr>
              <w:keepNext/>
              <w:keepLines/>
              <w:spacing w:after="0"/>
              <w:contextualSpacing/>
              <w:rPr>
                <w:rFonts w:eastAsia="Symbol"/>
                <w:sz w:val="18"/>
                <w:lang w:val="en-US"/>
              </w:rPr>
            </w:pPr>
          </w:p>
          <w:p w14:paraId="19A81BDF" w14:textId="77777777" w:rsidR="00696134" w:rsidRPr="002B6DA7" w:rsidRDefault="00696134">
            <w:pPr>
              <w:keepNext/>
              <w:keepLines/>
              <w:spacing w:after="0"/>
              <w:contextualSpacing/>
              <w:rPr>
                <w:rFonts w:eastAsia="Symbol"/>
                <w:sz w:val="18"/>
                <w:lang w:val="en-US"/>
              </w:rPr>
            </w:pP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UMa</w:t>
            </w:r>
            <w:proofErr w:type="spellEnd"/>
            <w:r w:rsidRPr="002B6DA7">
              <w:rPr>
                <w:rFonts w:eastAsia="Symbol"/>
                <w:sz w:val="18"/>
                <w:lang w:val="en-US"/>
              </w:rPr>
              <w:t xml:space="preserve"> with replacement of the UE’s antenna height with </w:t>
            </w:r>
            <w:proofErr w:type="spellStart"/>
            <w:r w:rsidRPr="002B6DA7">
              <w:rPr>
                <w:rFonts w:eastAsia="Symbol"/>
                <w:sz w:val="18"/>
                <w:lang w:val="en-US"/>
              </w:rPr>
              <w:t>gNB’s</w:t>
            </w:r>
            <w:proofErr w:type="spellEnd"/>
            <w:r w:rsidRPr="002B6DA7">
              <w:rPr>
                <w:rFonts w:eastAsia="Symbol"/>
                <w:sz w:val="18"/>
                <w:lang w:val="en-US"/>
              </w:rPr>
              <w:t xml:space="preserve"> antenna height and updated angular spread. 75% of LOS probability for </w:t>
            </w:r>
            <w:proofErr w:type="spellStart"/>
            <w:r w:rsidRPr="002B6DA7">
              <w:rPr>
                <w:rFonts w:eastAsia="Symbol"/>
                <w:sz w:val="18"/>
                <w:lang w:val="en-US"/>
              </w:rPr>
              <w:t>gNBs</w:t>
            </w:r>
            <w:proofErr w:type="spellEnd"/>
            <w:r w:rsidRPr="002B6DA7">
              <w:rPr>
                <w:rFonts w:eastAsia="Symbol"/>
                <w:sz w:val="18"/>
                <w:lang w:val="en-US"/>
              </w:rPr>
              <w:t xml:space="preserve"> within ISD distance</w:t>
            </w:r>
          </w:p>
          <w:p w14:paraId="6141FF18" w14:textId="77777777" w:rsidR="00696134" w:rsidRPr="002B6DA7" w:rsidRDefault="00696134">
            <w:pPr>
              <w:keepNext/>
              <w:keepLines/>
              <w:spacing w:after="0"/>
              <w:contextualSpacing/>
              <w:rPr>
                <w:rFonts w:eastAsia="Symbol"/>
                <w:sz w:val="18"/>
                <w:lang w:val="en-US"/>
              </w:rPr>
            </w:pPr>
          </w:p>
          <w:p w14:paraId="3BE427B1"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 xml:space="preserve">UE-UE: TR 38.901 </w:t>
            </w:r>
            <w:proofErr w:type="spellStart"/>
            <w:r w:rsidRPr="002B6DA7">
              <w:rPr>
                <w:rFonts w:eastAsia="Symbol"/>
                <w:sz w:val="18"/>
                <w:lang w:val="en-US"/>
              </w:rPr>
              <w:t>UMi</w:t>
            </w:r>
            <w:proofErr w:type="spellEnd"/>
            <w:r w:rsidRPr="002B6DA7">
              <w:rPr>
                <w:rFonts w:eastAsia="Symbol"/>
                <w:sz w:val="18"/>
                <w:lang w:val="en-US"/>
              </w:rPr>
              <w:t xml:space="preserve"> with O2I according to TR 38.802. </w:t>
            </w:r>
          </w:p>
          <w:p w14:paraId="3AD38153" w14:textId="77777777" w:rsidR="00696134" w:rsidRPr="002B6DA7" w:rsidRDefault="00696134">
            <w:pPr>
              <w:keepNext/>
              <w:keepLines/>
              <w:spacing w:after="0"/>
              <w:contextualSpacing/>
              <w:rPr>
                <w:rFonts w:eastAsia="Symbol"/>
                <w:sz w:val="18"/>
                <w:lang w:val="en-US"/>
              </w:rPr>
            </w:pPr>
          </w:p>
          <w:p w14:paraId="5F1526B1"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Both large-scale and small-scale fading effects are modeled between all gNB-gNB links.</w:t>
            </w:r>
          </w:p>
          <w:p w14:paraId="497A3076"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Only large-scale fading is modeled between UE-UE links.</w:t>
            </w:r>
          </w:p>
        </w:tc>
      </w:tr>
      <w:tr w:rsidR="00696134" w:rsidRPr="002B6DA7" w14:paraId="332D79D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36362DC0" w14:textId="77777777" w:rsidR="00696134" w:rsidRPr="002B6DA7" w:rsidRDefault="00696134">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785F897"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 xml:space="preserve">TDD: 16 Tx/16 Rx antenna ports </w:t>
            </w:r>
          </w:p>
          <w:p w14:paraId="499E8A87" w14:textId="77777777" w:rsidR="00696134" w:rsidRPr="005F292B" w:rsidRDefault="00696134">
            <w:pPr>
              <w:keepNext/>
              <w:keepLines/>
              <w:spacing w:after="0"/>
              <w:contextualSpacing/>
              <w:rPr>
                <w:rFonts w:eastAsia="Symbol"/>
                <w:sz w:val="18"/>
                <w:lang w:val="da-DK" w:eastAsia="zh-CN"/>
              </w:rPr>
            </w:pPr>
            <w:r w:rsidRPr="005F292B">
              <w:rPr>
                <w:rFonts w:eastAsia="Symbol"/>
                <w:sz w:val="18"/>
                <w:lang w:val="da-DK" w:eastAsia="zh-CN"/>
              </w:rPr>
              <w:t xml:space="preserve">(M, N, P, Mg, Ng; Mp, </w:t>
            </w:r>
            <w:proofErr w:type="spellStart"/>
            <w:r w:rsidRPr="005F292B">
              <w:rPr>
                <w:rFonts w:eastAsia="Symbol"/>
                <w:sz w:val="18"/>
                <w:lang w:val="da-DK" w:eastAsia="zh-CN"/>
              </w:rPr>
              <w:t>Np</w:t>
            </w:r>
            <w:proofErr w:type="spellEnd"/>
            <w:r w:rsidRPr="005F292B">
              <w:rPr>
                <w:rFonts w:eastAsia="Symbol"/>
                <w:sz w:val="18"/>
                <w:lang w:val="da-DK" w:eastAsia="zh-CN"/>
              </w:rPr>
              <w:t>) = (8, 8, 2, 1, 1; 2, 4);</w:t>
            </w:r>
          </w:p>
          <w:p w14:paraId="6235366E" w14:textId="77777777" w:rsidR="00696134" w:rsidRPr="002B6DA7" w:rsidRDefault="00696134">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w:t>
            </w:r>
            <w:proofErr w:type="gramStart"/>
            <w:r w:rsidRPr="002B6DA7">
              <w:rPr>
                <w:rFonts w:eastAsia="Symbol"/>
                <w:sz w:val="18"/>
                <w:lang w:val="en-US"/>
              </w:rPr>
              <w:t>λ;</w:t>
            </w:r>
            <w:proofErr w:type="gramEnd"/>
          </w:p>
          <w:p w14:paraId="2E760E8D" w14:textId="77777777" w:rsidR="00696134" w:rsidRPr="002B6DA7" w:rsidRDefault="00696134">
            <w:pPr>
              <w:keepNext/>
              <w:keepLines/>
              <w:spacing w:after="0"/>
              <w:contextualSpacing/>
              <w:rPr>
                <w:rFonts w:eastAsia="Symbol"/>
                <w:sz w:val="18"/>
                <w:lang w:val="en-US" w:eastAsia="zh-CN"/>
              </w:rPr>
            </w:pPr>
          </w:p>
          <w:p w14:paraId="021902FB" w14:textId="77777777" w:rsidR="00696134" w:rsidRPr="002B6DA7" w:rsidRDefault="00696134">
            <w:pPr>
              <w:keepNext/>
              <w:keepLines/>
              <w:spacing w:after="0"/>
              <w:contextualSpacing/>
              <w:rPr>
                <w:rFonts w:eastAsia="Symbol"/>
                <w:sz w:val="18"/>
                <w:szCs w:val="18"/>
                <w:lang w:val="en-US" w:eastAsia="zh-CN"/>
              </w:rPr>
            </w:pPr>
            <w:r w:rsidRPr="002B6DA7">
              <w:rPr>
                <w:rFonts w:eastAsia="Symbol"/>
                <w:sz w:val="18"/>
                <w:szCs w:val="18"/>
                <w:lang w:val="en-US" w:eastAsia="zh-CN"/>
              </w:rPr>
              <w:t>SBFD: 16 Tx/16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2)</w:t>
            </w:r>
          </w:p>
          <w:p w14:paraId="1493FCCD" w14:textId="77777777" w:rsidR="00696134" w:rsidRDefault="00696134">
            <w:pPr>
              <w:keepNext/>
              <w:keepLines/>
              <w:spacing w:after="0"/>
              <w:contextualSpacing/>
              <w:rPr>
                <w:rFonts w:eastAsia="Symbol"/>
                <w:sz w:val="18"/>
                <w:lang w:val="en-US" w:eastAsia="zh-CN"/>
              </w:rPr>
            </w:pPr>
            <w:r w:rsidRPr="002B6DA7">
              <w:rPr>
                <w:rFonts w:eastAsia="Symbol"/>
                <w:sz w:val="18"/>
                <w:szCs w:val="18"/>
                <w:lang w:val="en-US" w:eastAsia="zh-CN"/>
              </w:rPr>
              <w:t xml:space="preserve">(M, N, P, Mg, Ng; </w:t>
            </w:r>
            <w:proofErr w:type="spellStart"/>
            <w:r w:rsidRPr="002B6DA7">
              <w:rPr>
                <w:rFonts w:eastAsia="Symbol"/>
                <w:sz w:val="18"/>
                <w:szCs w:val="18"/>
                <w:lang w:val="en-US" w:eastAsia="zh-CN"/>
              </w:rPr>
              <w:t>Mp</w:t>
            </w:r>
            <w:proofErr w:type="spellEnd"/>
            <w:r w:rsidRPr="002B6DA7">
              <w:rPr>
                <w:rFonts w:eastAsia="Symbol"/>
                <w:sz w:val="18"/>
                <w:szCs w:val="18"/>
                <w:lang w:val="en-US" w:eastAsia="zh-CN"/>
              </w:rPr>
              <w:t xml:space="preserve">, Np) = (8, 8, 2, 1, 1; 1, 4) </w:t>
            </w:r>
            <w:r w:rsidRPr="002B6DA7">
              <w:rPr>
                <w:rFonts w:eastAsia="Symbol"/>
                <w:sz w:val="18"/>
                <w:lang w:val="en-US" w:eastAsia="zh-CN"/>
              </w:rPr>
              <w:t>(per panel group)</w:t>
            </w:r>
          </w:p>
          <w:p w14:paraId="0C55FEFF" w14:textId="77777777" w:rsidR="00696134" w:rsidRPr="002B6DA7" w:rsidRDefault="00696134">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w:t>
            </w:r>
            <w:proofErr w:type="gramStart"/>
            <w:r w:rsidRPr="002B6DA7">
              <w:rPr>
                <w:rFonts w:eastAsia="Symbol"/>
                <w:sz w:val="18"/>
                <w:lang w:val="en-US"/>
              </w:rPr>
              <w:t>λ;</w:t>
            </w:r>
            <w:proofErr w:type="gramEnd"/>
          </w:p>
          <w:p w14:paraId="5A2441CB" w14:textId="77777777" w:rsidR="00696134" w:rsidRDefault="00696134">
            <w:pPr>
              <w:keepNext/>
              <w:keepLines/>
              <w:spacing w:after="0"/>
              <w:contextualSpacing/>
              <w:rPr>
                <w:rFonts w:eastAsia="Symbol"/>
                <w:sz w:val="18"/>
                <w:lang w:val="en-US" w:eastAsia="zh-CN"/>
              </w:rPr>
            </w:pPr>
          </w:p>
          <w:p w14:paraId="3BFCFBB0" w14:textId="77777777" w:rsidR="00696134" w:rsidRPr="002B6DA7" w:rsidRDefault="00696134">
            <w:pPr>
              <w:keepNext/>
              <w:keepLines/>
              <w:spacing w:after="0"/>
              <w:contextualSpacing/>
              <w:rPr>
                <w:rFonts w:eastAsia="Symbol"/>
                <w:sz w:val="18"/>
                <w:szCs w:val="18"/>
                <w:lang w:val="en-US" w:eastAsia="zh-CN"/>
              </w:rPr>
            </w:pPr>
            <w:r w:rsidRPr="002B6DA7">
              <w:rPr>
                <w:rFonts w:eastAsia="Symbol"/>
                <w:sz w:val="18"/>
                <w:szCs w:val="18"/>
                <w:lang w:val="en-US" w:eastAsia="zh-CN"/>
              </w:rPr>
              <w:t xml:space="preserve">SBFD: </w:t>
            </w:r>
            <w:r>
              <w:rPr>
                <w:rFonts w:eastAsia="Symbol"/>
                <w:sz w:val="18"/>
                <w:szCs w:val="18"/>
                <w:lang w:val="en-US" w:eastAsia="zh-CN"/>
              </w:rPr>
              <w:t>8</w:t>
            </w:r>
            <w:r w:rsidRPr="002B6DA7">
              <w:rPr>
                <w:rFonts w:eastAsia="Symbol"/>
                <w:sz w:val="18"/>
                <w:szCs w:val="18"/>
                <w:lang w:val="en-US" w:eastAsia="zh-CN"/>
              </w:rPr>
              <w:t xml:space="preserve"> Tx/</w:t>
            </w:r>
            <w:r>
              <w:rPr>
                <w:rFonts w:eastAsia="Symbol"/>
                <w:sz w:val="18"/>
                <w:szCs w:val="18"/>
                <w:lang w:val="en-US" w:eastAsia="zh-CN"/>
              </w:rPr>
              <w:t>8</w:t>
            </w:r>
            <w:r w:rsidRPr="002B6DA7">
              <w:rPr>
                <w:rFonts w:eastAsia="Symbol"/>
                <w:sz w:val="18"/>
                <w:szCs w:val="18"/>
                <w:lang w:val="en-US" w:eastAsia="zh-CN"/>
              </w:rPr>
              <w:t xml:space="preserve">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w:t>
            </w:r>
            <w:r>
              <w:rPr>
                <w:rFonts w:eastAsia="Symbol"/>
                <w:sz w:val="18"/>
                <w:szCs w:val="18"/>
                <w:lang w:val="en-US" w:eastAsia="zh-CN"/>
              </w:rPr>
              <w:t>3</w:t>
            </w:r>
            <w:r w:rsidRPr="002B6DA7">
              <w:rPr>
                <w:rFonts w:eastAsia="Symbol"/>
                <w:sz w:val="18"/>
                <w:szCs w:val="18"/>
                <w:lang w:val="en-US" w:eastAsia="zh-CN"/>
              </w:rPr>
              <w:t>)</w:t>
            </w:r>
          </w:p>
          <w:p w14:paraId="73505AD6" w14:textId="77777777" w:rsidR="00696134" w:rsidRPr="00601CFD" w:rsidRDefault="00696134">
            <w:pPr>
              <w:keepNext/>
              <w:keepLines/>
              <w:spacing w:after="0"/>
              <w:contextualSpacing/>
              <w:rPr>
                <w:rFonts w:eastAsia="Symbol"/>
                <w:sz w:val="18"/>
                <w:szCs w:val="18"/>
                <w:lang w:val="da-DK" w:eastAsia="zh-CN"/>
              </w:rPr>
            </w:pPr>
            <w:r w:rsidRPr="00601CFD">
              <w:rPr>
                <w:rFonts w:eastAsia="Symbol"/>
                <w:sz w:val="18"/>
                <w:szCs w:val="18"/>
                <w:lang w:val="da-DK" w:eastAsia="zh-CN"/>
              </w:rPr>
              <w:t xml:space="preserve">(M, N, P, Mg, Ng; Mp, </w:t>
            </w:r>
            <w:proofErr w:type="spellStart"/>
            <w:r w:rsidRPr="00601CFD">
              <w:rPr>
                <w:rFonts w:eastAsia="Symbol"/>
                <w:sz w:val="18"/>
                <w:szCs w:val="18"/>
                <w:lang w:val="da-DK" w:eastAsia="zh-CN"/>
              </w:rPr>
              <w:t>Np</w:t>
            </w:r>
            <w:proofErr w:type="spellEnd"/>
            <w:r w:rsidRPr="00601CFD">
              <w:rPr>
                <w:rFonts w:eastAsia="Symbol"/>
                <w:sz w:val="18"/>
                <w:szCs w:val="18"/>
                <w:lang w:val="da-DK" w:eastAsia="zh-CN"/>
              </w:rPr>
              <w:t>) = (8, 4, 2, 1, 1; 1, 4)</w:t>
            </w:r>
          </w:p>
          <w:p w14:paraId="6CB9C404" w14:textId="77777777" w:rsidR="00696134" w:rsidRPr="002B6DA7" w:rsidRDefault="00696134">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w:t>
            </w:r>
            <w:proofErr w:type="gramStart"/>
            <w:r w:rsidRPr="002B6DA7">
              <w:rPr>
                <w:rFonts w:eastAsia="Symbol"/>
                <w:sz w:val="18"/>
                <w:lang w:val="en-US"/>
              </w:rPr>
              <w:t>λ;</w:t>
            </w:r>
            <w:proofErr w:type="gramEnd"/>
          </w:p>
          <w:p w14:paraId="2DA1CC75" w14:textId="77777777" w:rsidR="00696134" w:rsidRPr="002B6DA7" w:rsidRDefault="00696134">
            <w:pPr>
              <w:keepNext/>
              <w:keepLines/>
              <w:spacing w:after="0"/>
              <w:contextualSpacing/>
              <w:rPr>
                <w:rFonts w:eastAsia="Symbol"/>
                <w:sz w:val="18"/>
                <w:highlight w:val="green"/>
                <w:lang w:val="en-US"/>
              </w:rPr>
            </w:pPr>
          </w:p>
        </w:tc>
      </w:tr>
      <w:tr w:rsidR="00696134" w:rsidRPr="002B6DA7" w14:paraId="2779E0CE"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72A84F66" w14:textId="77777777" w:rsidR="00696134" w:rsidRPr="002B6DA7" w:rsidRDefault="00696134">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3DFAE687"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2 Tx antenna ports:</w:t>
            </w:r>
          </w:p>
          <w:p w14:paraId="5D6AA73A"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1)</w:t>
            </w:r>
          </w:p>
          <w:p w14:paraId="5F9E4245" w14:textId="77777777" w:rsidR="00696134" w:rsidRPr="002B6DA7" w:rsidRDefault="00696134">
            <w:pPr>
              <w:keepNext/>
              <w:keepLines/>
              <w:spacing w:after="0"/>
              <w:contextualSpacing/>
              <w:rPr>
                <w:rFonts w:eastAsia="Symbol"/>
                <w:sz w:val="18"/>
                <w:lang w:val="en-US" w:eastAsia="zh-CN"/>
              </w:rPr>
            </w:pPr>
          </w:p>
          <w:p w14:paraId="556147FA"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4 Rx antenna ports:</w:t>
            </w:r>
          </w:p>
          <w:p w14:paraId="101325C7"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2)</w:t>
            </w:r>
          </w:p>
          <w:p w14:paraId="499D029B" w14:textId="77777777" w:rsidR="00696134" w:rsidRPr="002B6DA7" w:rsidRDefault="00696134">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696134" w:rsidRPr="002B6DA7" w14:paraId="2B27F4D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9B21947"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1080757D"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696134" w:rsidRPr="002B6DA7" w14:paraId="1723F06B"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36E8609A"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Number of UEs per cell</w:t>
            </w:r>
          </w:p>
        </w:tc>
        <w:tc>
          <w:tcPr>
            <w:tcW w:w="7153" w:type="dxa"/>
            <w:tcBorders>
              <w:top w:val="single" w:sz="4" w:space="0" w:color="auto"/>
              <w:left w:val="single" w:sz="4" w:space="0" w:color="auto"/>
              <w:bottom w:val="single" w:sz="4" w:space="0" w:color="auto"/>
              <w:right w:val="single" w:sz="4" w:space="0" w:color="auto"/>
            </w:tcBorders>
            <w:hideMark/>
          </w:tcPr>
          <w:p w14:paraId="0BCEC9E4"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eastAsia="zh-CN"/>
              </w:rPr>
              <w:t xml:space="preserve">10 </w:t>
            </w:r>
          </w:p>
        </w:tc>
      </w:tr>
      <w:tr w:rsidR="00696134" w:rsidRPr="002B6DA7" w14:paraId="15EA6F9C"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8CB0260" w14:textId="77777777" w:rsidR="00696134" w:rsidRPr="002B6DA7" w:rsidRDefault="00696134">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7F26FDFB" w14:textId="77777777" w:rsidR="00696134" w:rsidRPr="002B6DA7" w:rsidRDefault="00696134">
            <w:pPr>
              <w:keepNext/>
              <w:keepLines/>
              <w:spacing w:after="0"/>
              <w:contextualSpacing/>
              <w:rPr>
                <w:rFonts w:eastAsia="Symbol"/>
                <w:sz w:val="18"/>
                <w:lang w:val="en-US" w:eastAsia="zh-CN"/>
              </w:rPr>
            </w:pPr>
            <w:r w:rsidRPr="002B6DA7">
              <w:rPr>
                <w:rFonts w:eastAsia="Symbol"/>
                <w:sz w:val="18"/>
                <w:lang w:val="en-US"/>
              </w:rPr>
              <w:t>Open-loop power control with alpha = 0.7 and p0=-80</w:t>
            </w:r>
          </w:p>
        </w:tc>
      </w:tr>
      <w:tr w:rsidR="00696134" w:rsidRPr="002B6DA7" w14:paraId="4B0A6AA0"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DC87D06" w14:textId="77777777" w:rsidR="00696134" w:rsidRPr="002B6DA7" w:rsidRDefault="00696134">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6F7148B6"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DL: Single user MIMO with rank 2</w:t>
            </w:r>
          </w:p>
          <w:p w14:paraId="67FF5FC8"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UL: Single user MIMO with rank 1</w:t>
            </w:r>
          </w:p>
        </w:tc>
      </w:tr>
      <w:tr w:rsidR="00696134" w:rsidRPr="002B6DA7" w14:paraId="30B77271"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9A95656"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206215C2"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TDD: DDDSU with S=[12D:2G:0U]</w:t>
            </w:r>
          </w:p>
          <w:p w14:paraId="6DE97842" w14:textId="77777777" w:rsidR="00696134" w:rsidRPr="002B6DA7" w:rsidRDefault="00696134">
            <w:pPr>
              <w:keepNext/>
              <w:keepLines/>
              <w:spacing w:after="0"/>
              <w:contextualSpacing/>
              <w:rPr>
                <w:rFonts w:eastAsia="Symbol"/>
                <w:sz w:val="18"/>
                <w:lang w:val="en-US"/>
              </w:rPr>
            </w:pPr>
            <w:r w:rsidRPr="002B6DA7">
              <w:rPr>
                <w:rFonts w:eastAsia="Symbol"/>
                <w:sz w:val="18"/>
                <w:lang w:val="en-US"/>
              </w:rPr>
              <w:t>SBFD: XXXXX with X denoting a SBFD slot with DGUGU = [104, 5, 55, 5, 104] PRB assignment. “D”, “U” and “G” refers to downlink subband, uplink subband and guard bands, respectively.</w:t>
            </w:r>
          </w:p>
        </w:tc>
      </w:tr>
      <w:tr w:rsidR="00696134" w:rsidRPr="002B6DA7" w14:paraId="4A6E7F54"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08AE1346" w14:textId="77777777" w:rsidR="00696134" w:rsidRPr="002B6DA7" w:rsidRDefault="00696134">
            <w:pPr>
              <w:keepNext/>
              <w:keepLines/>
              <w:spacing w:after="0"/>
              <w:contextualSpacing/>
              <w:rPr>
                <w:rFonts w:eastAsia="Symbol"/>
                <w:sz w:val="18"/>
                <w:szCs w:val="18"/>
                <w:lang w:val="en-US"/>
              </w:rPr>
            </w:pPr>
            <w:r w:rsidRPr="002B6DA7">
              <w:rPr>
                <w:rFonts w:eastAsia="Symbol"/>
                <w:sz w:val="18"/>
                <w:szCs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19261D14" w14:textId="77777777" w:rsidR="00696134" w:rsidRPr="002B6DA7" w:rsidRDefault="00696134">
            <w:pPr>
              <w:spacing w:after="0"/>
              <w:rPr>
                <w:sz w:val="18"/>
                <w:szCs w:val="18"/>
                <w:lang w:val="en-US"/>
              </w:rPr>
            </w:pPr>
            <w:r w:rsidRPr="002B6DA7">
              <w:rPr>
                <w:sz w:val="18"/>
                <w:szCs w:val="18"/>
                <w:lang w:val="en-US"/>
              </w:rPr>
              <w:t>Setting 1</w:t>
            </w:r>
            <w:r>
              <w:rPr>
                <w:sz w:val="18"/>
                <w:szCs w:val="18"/>
                <w:lang w:val="en-US"/>
              </w:rPr>
              <w:t xml:space="preserve"> (optimistic)</w:t>
            </w:r>
            <w:r w:rsidRPr="002B6DA7">
              <w:rPr>
                <w:sz w:val="18"/>
                <w:szCs w:val="18"/>
                <w:lang w:val="en-US"/>
              </w:rPr>
              <w:t xml:space="preserve">: 149 dB RSI and 135.5 dB for </w:t>
            </w:r>
            <w:r>
              <w:rPr>
                <w:sz w:val="18"/>
                <w:szCs w:val="18"/>
                <w:lang w:val="en-US"/>
              </w:rPr>
              <w:t>inter-sector isolation</w:t>
            </w:r>
            <w:r w:rsidRPr="002B6DA7">
              <w:rPr>
                <w:sz w:val="18"/>
                <w:szCs w:val="18"/>
                <w:lang w:val="en-US"/>
              </w:rPr>
              <w:t xml:space="preserve"> </w:t>
            </w:r>
          </w:p>
          <w:p w14:paraId="66364807" w14:textId="77777777" w:rsidR="00696134" w:rsidRPr="002B6DA7" w:rsidRDefault="00696134">
            <w:pPr>
              <w:spacing w:after="0"/>
              <w:rPr>
                <w:sz w:val="18"/>
                <w:szCs w:val="18"/>
                <w:lang w:val="en-US"/>
              </w:rPr>
            </w:pPr>
            <w:r w:rsidRPr="002B6DA7">
              <w:rPr>
                <w:sz w:val="18"/>
                <w:szCs w:val="18"/>
                <w:lang w:val="en-US"/>
              </w:rPr>
              <w:t>Setting 2</w:t>
            </w:r>
            <w:r>
              <w:rPr>
                <w:sz w:val="18"/>
                <w:szCs w:val="18"/>
                <w:lang w:val="en-US"/>
              </w:rPr>
              <w:t xml:space="preserve"> (realistic)</w:t>
            </w:r>
            <w:r w:rsidRPr="002B6DA7">
              <w:rPr>
                <w:sz w:val="18"/>
                <w:szCs w:val="18"/>
                <w:lang w:val="en-US"/>
              </w:rPr>
              <w:t xml:space="preserve">: 149 dB RSI and 117.5 dB for </w:t>
            </w:r>
            <w:r>
              <w:rPr>
                <w:sz w:val="18"/>
                <w:szCs w:val="18"/>
                <w:lang w:val="en-US"/>
              </w:rPr>
              <w:t>inter-sector isolation</w:t>
            </w:r>
          </w:p>
          <w:p w14:paraId="4B76247C" w14:textId="77777777" w:rsidR="00696134" w:rsidRPr="002B6DA7" w:rsidRDefault="00696134">
            <w:pPr>
              <w:keepNext/>
              <w:keepLines/>
              <w:spacing w:after="0"/>
              <w:contextualSpacing/>
              <w:rPr>
                <w:rFonts w:eastAsia="Symbol"/>
                <w:sz w:val="18"/>
                <w:szCs w:val="18"/>
                <w:lang w:val="en-US"/>
              </w:rPr>
            </w:pPr>
            <w:r w:rsidRPr="002B6DA7">
              <w:rPr>
                <w:rFonts w:eastAsia="Symbol"/>
                <w:sz w:val="18"/>
                <w:szCs w:val="18"/>
                <w:lang w:val="en-US"/>
              </w:rPr>
              <w:t xml:space="preserve">gNB-to-gNB inter-site: ACLR: 45 dB, ACS: 46 </w:t>
            </w:r>
            <w:proofErr w:type="spellStart"/>
            <w:r w:rsidRPr="002B6DA7">
              <w:rPr>
                <w:rFonts w:eastAsia="Symbol"/>
                <w:sz w:val="18"/>
                <w:szCs w:val="18"/>
                <w:lang w:val="en-US"/>
              </w:rPr>
              <w:t>dB.</w:t>
            </w:r>
            <w:proofErr w:type="spellEnd"/>
          </w:p>
          <w:p w14:paraId="0E629120" w14:textId="77777777" w:rsidR="00696134" w:rsidRPr="002B6DA7" w:rsidRDefault="00696134">
            <w:pPr>
              <w:keepNext/>
              <w:keepLines/>
              <w:spacing w:after="0"/>
              <w:contextualSpacing/>
              <w:rPr>
                <w:rFonts w:eastAsia="Symbol"/>
                <w:sz w:val="18"/>
                <w:szCs w:val="18"/>
                <w:lang w:val="en-US"/>
              </w:rPr>
            </w:pPr>
            <w:r w:rsidRPr="002B6DA7">
              <w:rPr>
                <w:rFonts w:eastAsia="Symbol"/>
                <w:sz w:val="18"/>
                <w:szCs w:val="18"/>
                <w:lang w:val="en-US"/>
              </w:rPr>
              <w:t>UE</w:t>
            </w:r>
            <w:r>
              <w:rPr>
                <w:rFonts w:eastAsia="Symbol"/>
                <w:sz w:val="18"/>
                <w:szCs w:val="18"/>
                <w:lang w:val="en-US"/>
              </w:rPr>
              <w:t xml:space="preserve"> ACLR</w:t>
            </w:r>
            <w:r w:rsidRPr="002B6DA7">
              <w:rPr>
                <w:rFonts w:eastAsia="Symbol"/>
                <w:sz w:val="18"/>
                <w:szCs w:val="18"/>
                <w:lang w:val="en-US"/>
              </w:rPr>
              <w:t>: IBE requirements defined in TS</w:t>
            </w:r>
            <w:r>
              <w:rPr>
                <w:rFonts w:eastAsia="Symbol"/>
                <w:sz w:val="18"/>
                <w:szCs w:val="18"/>
                <w:lang w:val="en-US"/>
              </w:rPr>
              <w:t xml:space="preserve"> </w:t>
            </w:r>
            <w:r w:rsidRPr="002B6DA7">
              <w:rPr>
                <w:rFonts w:eastAsia="Symbol"/>
                <w:sz w:val="18"/>
                <w:szCs w:val="18"/>
                <w:lang w:val="en-US"/>
              </w:rPr>
              <w:t>38.101-1</w:t>
            </w:r>
          </w:p>
          <w:p w14:paraId="76663790" w14:textId="77777777" w:rsidR="00696134" w:rsidRPr="002B6DA7" w:rsidRDefault="00696134">
            <w:pPr>
              <w:keepNext/>
              <w:keepLines/>
              <w:spacing w:after="0"/>
              <w:contextualSpacing/>
              <w:rPr>
                <w:rFonts w:eastAsia="Symbol"/>
                <w:sz w:val="18"/>
                <w:szCs w:val="18"/>
                <w:lang w:val="en-US"/>
              </w:rPr>
            </w:pPr>
            <w:r w:rsidRPr="002B6DA7">
              <w:rPr>
                <w:rFonts w:eastAsia="Symbol"/>
                <w:sz w:val="18"/>
                <w:lang w:val="en-US"/>
              </w:rPr>
              <w:t>U</w:t>
            </w:r>
            <w:r w:rsidRPr="002B6DA7">
              <w:rPr>
                <w:rFonts w:eastAsia="Symbol"/>
                <w:sz w:val="18"/>
                <w:szCs w:val="18"/>
                <w:lang w:val="en-US"/>
              </w:rPr>
              <w:t>E ICS = 33 dB</w:t>
            </w:r>
          </w:p>
        </w:tc>
      </w:tr>
      <w:tr w:rsidR="00696134" w:rsidRPr="002B6DA7" w14:paraId="5E6C2DF7"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0C17A8A3" w14:textId="77777777" w:rsidR="00696134" w:rsidRPr="002B6DA7" w:rsidRDefault="00696134">
            <w:pPr>
              <w:keepNext/>
              <w:keepLines/>
              <w:spacing w:after="0"/>
              <w:contextualSpacing/>
              <w:rPr>
                <w:rFonts w:eastAsia="Symbol"/>
                <w:sz w:val="18"/>
                <w:szCs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02AD3702" w14:textId="77777777" w:rsidR="00696134" w:rsidRDefault="00696134">
            <w:pPr>
              <w:spacing w:after="0"/>
              <w:rPr>
                <w:sz w:val="18"/>
                <w:szCs w:val="18"/>
                <w:lang w:val="en-US"/>
              </w:rPr>
            </w:pPr>
            <w:r>
              <w:rPr>
                <w:sz w:val="18"/>
                <w:szCs w:val="18"/>
                <w:lang w:val="en-US"/>
              </w:rPr>
              <w:t>BS: piece-wise noise figure model with A = -43 dBm, B = -25 dBm, C = 5 dB, D = 14 dB</w:t>
            </w:r>
          </w:p>
          <w:p w14:paraId="4A23E745" w14:textId="77777777" w:rsidR="00696134" w:rsidRPr="002B6DA7" w:rsidRDefault="00696134">
            <w:pPr>
              <w:spacing w:after="0"/>
              <w:rPr>
                <w:sz w:val="18"/>
                <w:szCs w:val="18"/>
                <w:lang w:val="en-US"/>
              </w:rPr>
            </w:pPr>
            <w:r>
              <w:rPr>
                <w:sz w:val="18"/>
                <w:szCs w:val="18"/>
                <w:lang w:val="en-US"/>
              </w:rPr>
              <w:t>UE: 9 dB</w:t>
            </w:r>
          </w:p>
        </w:tc>
      </w:tr>
    </w:tbl>
    <w:p w14:paraId="772C3CC9" w14:textId="77777777" w:rsidR="00696134" w:rsidRPr="002B6DA7" w:rsidRDefault="00696134" w:rsidP="00696134">
      <w:pPr>
        <w:spacing w:after="0"/>
        <w:rPr>
          <w:lang w:val="en-US"/>
        </w:rPr>
      </w:pPr>
    </w:p>
    <w:p w14:paraId="76AAAE78" w14:textId="77777777" w:rsidR="002572EB" w:rsidRPr="002B6DA7" w:rsidRDefault="002572EB" w:rsidP="002572EB">
      <w:pPr>
        <w:spacing w:after="0"/>
        <w:rPr>
          <w:lang w:val="en-US"/>
        </w:rPr>
      </w:pPr>
    </w:p>
    <w:p w14:paraId="0CF435D8" w14:textId="77777777" w:rsidR="002572EB" w:rsidRPr="002B6DA7" w:rsidRDefault="002572EB" w:rsidP="002572EB">
      <w:pPr>
        <w:spacing w:after="0"/>
        <w:rPr>
          <w:lang w:val="en-US"/>
        </w:rPr>
      </w:pPr>
    </w:p>
    <w:p w14:paraId="195CE96D" w14:textId="3402A83C" w:rsidR="002572EB" w:rsidRPr="002B6DA7" w:rsidRDefault="002572EB" w:rsidP="002572EB">
      <w:pPr>
        <w:pStyle w:val="Caption"/>
        <w:keepNext/>
        <w:spacing w:after="0"/>
        <w:jc w:val="center"/>
        <w:rPr>
          <w:b w:val="0"/>
          <w:bCs/>
          <w:lang w:val="en-US"/>
        </w:rPr>
      </w:pPr>
      <w:bookmarkStart w:id="1369" w:name="_Ref127300680"/>
      <w:r w:rsidRPr="002B6DA7">
        <w:rPr>
          <w:b w:val="0"/>
          <w:bCs/>
          <w:color w:val="000000" w:themeColor="text1"/>
          <w:lang w:val="en-US"/>
        </w:rPr>
        <w:t xml:space="preserve">Table </w:t>
      </w:r>
      <w:bookmarkEnd w:id="1369"/>
      <w:r w:rsidR="00696134">
        <w:rPr>
          <w:b w:val="0"/>
          <w:bCs/>
          <w:color w:val="000000" w:themeColor="text1"/>
          <w:lang w:val="en-US"/>
        </w:rPr>
        <w:t>B2</w:t>
      </w:r>
      <w:r w:rsidRPr="002B6DA7">
        <w:rPr>
          <w:b w:val="0"/>
          <w:bCs/>
          <w:color w:val="000000" w:themeColor="text1"/>
          <w:lang w:val="en-US"/>
        </w:rPr>
        <w:t>: Si</w:t>
      </w:r>
      <w:r w:rsidRPr="002B6DA7">
        <w:rPr>
          <w:b w:val="0"/>
          <w:bCs/>
          <w:lang w:val="en-US"/>
        </w:rPr>
        <w:t>mulation assumptions for FR1 Indoor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2572EB" w:rsidRPr="002B6DA7" w14:paraId="05E4706B"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1C73C860" w14:textId="77777777" w:rsidR="002572EB" w:rsidRPr="002B6DA7" w:rsidRDefault="002572EB">
            <w:pPr>
              <w:keepNext/>
              <w:keepLines/>
              <w:overflowPunct/>
              <w:autoSpaceDE/>
              <w:autoSpaceDN/>
              <w:adjustRightInd/>
              <w:spacing w:after="0"/>
              <w:textAlignment w:val="auto"/>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20DAD32F" w14:textId="77777777" w:rsidR="002572EB" w:rsidRPr="002B6DA7" w:rsidRDefault="002572EB">
            <w:pPr>
              <w:keepNext/>
              <w:keepLines/>
              <w:overflowPunct/>
              <w:autoSpaceDE/>
              <w:autoSpaceDN/>
              <w:adjustRightInd/>
              <w:spacing w:after="0"/>
              <w:textAlignment w:val="auto"/>
              <w:rPr>
                <w:rFonts w:eastAsia="Symbol"/>
                <w:b/>
                <w:sz w:val="18"/>
                <w:lang w:val="en-US" w:eastAsia="zh-CN"/>
              </w:rPr>
            </w:pPr>
            <w:r w:rsidRPr="002B6DA7">
              <w:rPr>
                <w:rFonts w:eastAsia="Symbol"/>
                <w:b/>
                <w:sz w:val="18"/>
                <w:lang w:val="en-US" w:eastAsia="zh-CN"/>
              </w:rPr>
              <w:t>Value</w:t>
            </w:r>
          </w:p>
        </w:tc>
      </w:tr>
      <w:tr w:rsidR="002572EB" w:rsidRPr="002B6DA7" w14:paraId="45E0EE51"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27B97125"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10365BBB" w14:textId="77777777" w:rsidR="002572EB" w:rsidRPr="002B6DA7" w:rsidRDefault="002572EB">
            <w:pPr>
              <w:spacing w:after="0"/>
              <w:contextualSpacing/>
              <w:rPr>
                <w:rFonts w:eastAsia="Symbol"/>
                <w:sz w:val="18"/>
                <w:lang w:val="en-US"/>
              </w:rPr>
            </w:pPr>
            <w:r w:rsidRPr="002B6DA7">
              <w:rPr>
                <w:rFonts w:eastAsia="Symbol"/>
                <w:sz w:val="18"/>
                <w:lang w:val="en-US"/>
              </w:rPr>
              <w:t xml:space="preserve">TR 38.901 Indoor Office of 120x50x3 meter with 12 cells deployed in the ceiling with </w:t>
            </w:r>
            <w:proofErr w:type="gramStart"/>
            <w:r w:rsidRPr="002B6DA7">
              <w:rPr>
                <w:rFonts w:eastAsia="Symbol"/>
                <w:sz w:val="18"/>
                <w:lang w:val="en-US"/>
              </w:rPr>
              <w:t>20 meter</w:t>
            </w:r>
            <w:proofErr w:type="gramEnd"/>
            <w:r w:rsidRPr="002B6DA7">
              <w:rPr>
                <w:rFonts w:eastAsia="Symbol"/>
                <w:sz w:val="18"/>
                <w:lang w:val="en-US"/>
              </w:rPr>
              <w:t xml:space="preserve"> inter-site distance.</w:t>
            </w:r>
          </w:p>
          <w:p w14:paraId="1069CCC2" w14:textId="77777777" w:rsidR="002572EB" w:rsidRPr="002B6DA7" w:rsidRDefault="002572EB">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2572EB" w:rsidRPr="002B6DA7" w14:paraId="3063F6D3"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612369F9"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26A5596A" w14:textId="77777777" w:rsidR="002572EB" w:rsidRPr="002B6DA7" w:rsidRDefault="002572EB">
            <w:pPr>
              <w:spacing w:after="0"/>
              <w:contextualSpacing/>
              <w:rPr>
                <w:rFonts w:eastAsia="Symbol"/>
                <w:sz w:val="18"/>
                <w:lang w:val="en-US"/>
              </w:rPr>
            </w:pPr>
            <w:r w:rsidRPr="002B6DA7">
              <w:rPr>
                <w:rFonts w:eastAsia="Symbol"/>
                <w:sz w:val="18"/>
                <w:lang w:val="en-US"/>
              </w:rPr>
              <w:t>30 kHz</w:t>
            </w:r>
          </w:p>
        </w:tc>
      </w:tr>
      <w:tr w:rsidR="002572EB" w:rsidRPr="002B6DA7" w14:paraId="5E83328F"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600C2CA"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663D7375" w14:textId="77777777" w:rsidR="002572EB" w:rsidRPr="002B6DA7" w:rsidRDefault="002572EB">
            <w:pPr>
              <w:spacing w:after="0"/>
              <w:contextualSpacing/>
              <w:rPr>
                <w:rFonts w:eastAsia="Symbol"/>
                <w:sz w:val="18"/>
                <w:lang w:val="en-US"/>
              </w:rPr>
            </w:pPr>
            <w:r w:rsidRPr="002B6DA7">
              <w:rPr>
                <w:rFonts w:eastAsia="Symbol"/>
                <w:sz w:val="18"/>
                <w:lang w:val="en-US"/>
              </w:rPr>
              <w:t>100 MHz, 273 RBs</w:t>
            </w:r>
          </w:p>
        </w:tc>
      </w:tr>
      <w:tr w:rsidR="002572EB" w:rsidRPr="002B6DA7" w14:paraId="703C534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A3776BB"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gNB total transmit power</w:t>
            </w:r>
          </w:p>
        </w:tc>
        <w:tc>
          <w:tcPr>
            <w:tcW w:w="7153" w:type="dxa"/>
            <w:tcBorders>
              <w:top w:val="single" w:sz="4" w:space="0" w:color="auto"/>
              <w:left w:val="single" w:sz="4" w:space="0" w:color="auto"/>
              <w:bottom w:val="single" w:sz="4" w:space="0" w:color="auto"/>
              <w:right w:val="single" w:sz="4" w:space="0" w:color="auto"/>
            </w:tcBorders>
          </w:tcPr>
          <w:p w14:paraId="6CD2DB84" w14:textId="77777777" w:rsidR="002572EB" w:rsidRPr="002B6DA7" w:rsidRDefault="002572EB">
            <w:pPr>
              <w:spacing w:after="0"/>
              <w:contextualSpacing/>
              <w:rPr>
                <w:rFonts w:eastAsia="Symbol"/>
                <w:sz w:val="18"/>
                <w:lang w:val="en-US"/>
              </w:rPr>
            </w:pPr>
            <w:r w:rsidRPr="002B6DA7">
              <w:rPr>
                <w:rFonts w:eastAsia="Symbol"/>
                <w:sz w:val="18"/>
                <w:lang w:val="en-US"/>
              </w:rPr>
              <w:t>24 dBm</w:t>
            </w:r>
          </w:p>
        </w:tc>
      </w:tr>
      <w:tr w:rsidR="002572EB" w:rsidRPr="002B6DA7" w14:paraId="24332E9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552F201"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6A1AE0E9"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23 dBm</w:t>
            </w:r>
          </w:p>
        </w:tc>
      </w:tr>
      <w:tr w:rsidR="002572EB" w:rsidRPr="002B6DA7" w14:paraId="1F201D6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A8F8942"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4F919579"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120 randomly distributed UEs in the office area.</w:t>
            </w:r>
          </w:p>
        </w:tc>
      </w:tr>
      <w:tr w:rsidR="002572EB" w:rsidRPr="002B6DA7" w14:paraId="49A8A03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E148EBF"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65B5142B"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p w14:paraId="6ED3AD34"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FTP3 UL and DL traffic; 1kB payload size in UL and 4kB in DL</w:t>
            </w:r>
          </w:p>
        </w:tc>
      </w:tr>
      <w:tr w:rsidR="002572EB" w:rsidRPr="002B6DA7" w14:paraId="5928BF7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5168530"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2C007946"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gNB-UE, UE-UE and </w:t>
            </w: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InH</w:t>
            </w:r>
            <w:proofErr w:type="spellEnd"/>
          </w:p>
          <w:p w14:paraId="29394F6B" w14:textId="77777777" w:rsidR="002572EB" w:rsidRPr="002B6DA7" w:rsidRDefault="002572EB">
            <w:pPr>
              <w:keepNext/>
              <w:keepLines/>
              <w:spacing w:after="0"/>
              <w:contextualSpacing/>
              <w:rPr>
                <w:rFonts w:eastAsia="Symbol"/>
                <w:sz w:val="18"/>
                <w:lang w:val="en-US"/>
              </w:rPr>
            </w:pPr>
          </w:p>
          <w:p w14:paraId="16A87F4F"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Both large-scale and small-scale fading effects are modeled between all gNB-gNB and UE-UE links.</w:t>
            </w:r>
          </w:p>
        </w:tc>
      </w:tr>
      <w:tr w:rsidR="002572EB" w:rsidRPr="002B6DA7" w14:paraId="36DBE34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B45C978" w14:textId="77777777" w:rsidR="002572EB" w:rsidRPr="002B6DA7" w:rsidRDefault="002572EB">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0F4EAB88"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 xml:space="preserve">TDD: 32 Tx/32 Rx antenna ports </w:t>
            </w:r>
          </w:p>
          <w:p w14:paraId="581736F4" w14:textId="77777777" w:rsidR="002572EB" w:rsidRPr="005F292B" w:rsidRDefault="002572EB">
            <w:pPr>
              <w:keepNext/>
              <w:keepLines/>
              <w:spacing w:after="0"/>
              <w:contextualSpacing/>
              <w:rPr>
                <w:rFonts w:eastAsia="Symbol"/>
                <w:sz w:val="18"/>
                <w:lang w:val="da-DK" w:eastAsia="zh-CN"/>
              </w:rPr>
            </w:pPr>
            <w:r w:rsidRPr="005F292B">
              <w:rPr>
                <w:rFonts w:eastAsia="Symbol"/>
                <w:sz w:val="18"/>
                <w:lang w:val="da-DK" w:eastAsia="zh-CN"/>
              </w:rPr>
              <w:t xml:space="preserve">(M, N, P, Mg, Ng; Mp, </w:t>
            </w:r>
            <w:proofErr w:type="spellStart"/>
            <w:r w:rsidRPr="005F292B">
              <w:rPr>
                <w:rFonts w:eastAsia="Symbol"/>
                <w:sz w:val="18"/>
                <w:lang w:val="da-DK" w:eastAsia="zh-CN"/>
              </w:rPr>
              <w:t>Np</w:t>
            </w:r>
            <w:proofErr w:type="spellEnd"/>
            <w:r w:rsidRPr="005F292B">
              <w:rPr>
                <w:rFonts w:eastAsia="Symbol"/>
                <w:sz w:val="18"/>
                <w:lang w:val="da-DK" w:eastAsia="zh-CN"/>
              </w:rPr>
              <w:t>) = (4, 4, 2, 1, 1; 4, 4);</w:t>
            </w:r>
          </w:p>
          <w:p w14:paraId="0DA41179" w14:textId="77777777" w:rsidR="002572EB" w:rsidRPr="005F292B" w:rsidRDefault="002572EB">
            <w:pPr>
              <w:keepNext/>
              <w:keepLines/>
              <w:spacing w:after="0"/>
              <w:contextualSpacing/>
              <w:rPr>
                <w:rFonts w:eastAsia="Symbol"/>
                <w:sz w:val="18"/>
                <w:lang w:val="da-DK" w:eastAsia="zh-CN"/>
              </w:rPr>
            </w:pPr>
          </w:p>
          <w:p w14:paraId="6A3F18D6" w14:textId="77777777" w:rsidR="002572EB" w:rsidRPr="002B6DA7" w:rsidRDefault="002572EB">
            <w:pPr>
              <w:keepNext/>
              <w:keepLines/>
              <w:spacing w:after="0"/>
              <w:contextualSpacing/>
              <w:rPr>
                <w:rFonts w:eastAsia="Symbol"/>
                <w:sz w:val="18"/>
                <w:szCs w:val="18"/>
                <w:lang w:val="en-US" w:eastAsia="zh-CN"/>
              </w:rPr>
            </w:pPr>
            <w:r w:rsidRPr="002B6DA7">
              <w:rPr>
                <w:rFonts w:eastAsia="Symbol"/>
                <w:sz w:val="18"/>
                <w:szCs w:val="18"/>
                <w:lang w:val="en-US" w:eastAsia="zh-CN"/>
              </w:rPr>
              <w:t>SBFD: 32 Tx/32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2)</w:t>
            </w:r>
          </w:p>
          <w:p w14:paraId="11A8A755"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 xml:space="preserve">(M, N, P, Mg, Ng; </w:t>
            </w:r>
            <w:proofErr w:type="spellStart"/>
            <w:r w:rsidRPr="002B6DA7">
              <w:rPr>
                <w:rFonts w:eastAsia="Symbol"/>
                <w:sz w:val="18"/>
                <w:lang w:val="en-US" w:eastAsia="zh-CN"/>
              </w:rPr>
              <w:t>Mp</w:t>
            </w:r>
            <w:proofErr w:type="spellEnd"/>
            <w:r w:rsidRPr="002B6DA7">
              <w:rPr>
                <w:rFonts w:eastAsia="Symbol"/>
                <w:sz w:val="18"/>
                <w:lang w:val="en-US" w:eastAsia="zh-CN"/>
              </w:rPr>
              <w:t>, Np) = (4, 4, 2, 1, 1; 4, 2); (per panel group)</w:t>
            </w:r>
          </w:p>
          <w:p w14:paraId="0E281656" w14:textId="77777777" w:rsidR="002572EB" w:rsidRPr="002B6DA7" w:rsidRDefault="002572EB">
            <w:pPr>
              <w:keepNext/>
              <w:keepLines/>
              <w:spacing w:after="0"/>
              <w:contextualSpacing/>
              <w:rPr>
                <w:rFonts w:eastAsia="Symbol"/>
                <w:sz w:val="18"/>
                <w:szCs w:val="18"/>
                <w:highlight w:val="green"/>
                <w:lang w:val="en-US"/>
              </w:rPr>
            </w:pPr>
          </w:p>
          <w:p w14:paraId="32EDAC65" w14:textId="77777777" w:rsidR="002572EB" w:rsidRPr="002B6DA7" w:rsidRDefault="002572EB">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0.5</w:t>
            </w:r>
            <w:proofErr w:type="gramStart"/>
            <w:r w:rsidRPr="002B6DA7">
              <w:rPr>
                <w:rFonts w:eastAsia="Symbol"/>
                <w:sz w:val="18"/>
                <w:lang w:val="en-US"/>
              </w:rPr>
              <w:t>λ;</w:t>
            </w:r>
            <w:proofErr w:type="gramEnd"/>
          </w:p>
          <w:p w14:paraId="62FB7FA6" w14:textId="77777777" w:rsidR="002572EB" w:rsidRPr="002B6DA7" w:rsidRDefault="002572EB">
            <w:pPr>
              <w:keepNext/>
              <w:keepLines/>
              <w:spacing w:after="0"/>
              <w:contextualSpacing/>
              <w:rPr>
                <w:rFonts w:eastAsia="Symbol"/>
                <w:sz w:val="18"/>
                <w:lang w:val="en-US"/>
              </w:rPr>
            </w:pPr>
            <w:proofErr w:type="gramStart"/>
            <w:r w:rsidRPr="002B6DA7">
              <w:rPr>
                <w:rFonts w:eastAsia="Symbol"/>
                <w:sz w:val="18"/>
                <w:lang w:val="en-US" w:eastAsia="ko-KR"/>
              </w:rPr>
              <w:t>90 degree</w:t>
            </w:r>
            <w:proofErr w:type="gramEnd"/>
            <w:r w:rsidRPr="002B6DA7">
              <w:rPr>
                <w:rFonts w:eastAsia="Symbol"/>
                <w:sz w:val="18"/>
                <w:lang w:val="en-US" w:eastAsia="ko-KR"/>
              </w:rPr>
              <w:t xml:space="preserve"> mechanical tilt (pointing to the floor)</w:t>
            </w:r>
          </w:p>
          <w:p w14:paraId="655CDECA" w14:textId="77777777" w:rsidR="002572EB" w:rsidRPr="002B6DA7" w:rsidRDefault="002572EB">
            <w:pPr>
              <w:keepNext/>
              <w:keepLines/>
              <w:spacing w:after="0"/>
              <w:contextualSpacing/>
              <w:rPr>
                <w:rFonts w:eastAsia="Symbol"/>
                <w:sz w:val="18"/>
                <w:highlight w:val="green"/>
                <w:lang w:val="en-US"/>
              </w:rPr>
            </w:pPr>
          </w:p>
        </w:tc>
      </w:tr>
      <w:tr w:rsidR="002572EB" w:rsidRPr="002B6DA7" w14:paraId="7E0499F0"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2CAA9985"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27D059C9"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2 Tx antenna ports:</w:t>
            </w:r>
          </w:p>
          <w:p w14:paraId="7F113F05"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1)</w:t>
            </w:r>
          </w:p>
          <w:p w14:paraId="53AB9C33" w14:textId="77777777" w:rsidR="002572EB" w:rsidRPr="002B6DA7" w:rsidRDefault="002572EB">
            <w:pPr>
              <w:keepNext/>
              <w:keepLines/>
              <w:spacing w:after="0"/>
              <w:contextualSpacing/>
              <w:rPr>
                <w:rFonts w:eastAsia="Symbol"/>
                <w:sz w:val="18"/>
                <w:lang w:val="en-US" w:eastAsia="zh-CN"/>
              </w:rPr>
            </w:pPr>
          </w:p>
          <w:p w14:paraId="79943441"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4 Rx antenna ports:</w:t>
            </w:r>
          </w:p>
          <w:p w14:paraId="45A598C0"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2)</w:t>
            </w:r>
          </w:p>
          <w:p w14:paraId="7CE1D064" w14:textId="77777777" w:rsidR="002572EB" w:rsidRPr="002B6DA7" w:rsidRDefault="002572EB">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2572EB" w:rsidRPr="002B6DA7" w14:paraId="3912023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1929815"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3FE115E6"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2572EB" w:rsidRPr="002B6DA7" w14:paraId="360AFA5C"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2EB6314"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1B44B61B"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Open-loop power control with alpha = 0.6 and p0=-60</w:t>
            </w:r>
          </w:p>
        </w:tc>
      </w:tr>
      <w:tr w:rsidR="002572EB" w:rsidRPr="002B6DA7" w14:paraId="4425EFC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E337004"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765D2610"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DL: Single user MIMO with rank 2</w:t>
            </w:r>
          </w:p>
          <w:p w14:paraId="6E8A2121"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UL: Single user MIMO with rank 1</w:t>
            </w:r>
          </w:p>
        </w:tc>
      </w:tr>
      <w:tr w:rsidR="002572EB" w:rsidRPr="002B6DA7" w14:paraId="5582179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E6CFB82"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35F9B658"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TDD: DDDSU with S=[12D:2G:0U]</w:t>
            </w:r>
          </w:p>
          <w:p w14:paraId="47D51B38"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SBFD: XXXXX with X denoting a SBFD slot with DGUGU = [104, 5, 55, 5, 104] PRB assignment. “D”, “U” and “G” refers to downlink subband, uplink subband and guard bands, respectively.</w:t>
            </w:r>
          </w:p>
        </w:tc>
      </w:tr>
      <w:tr w:rsidR="002572EB" w:rsidRPr="002B6DA7" w14:paraId="51F1970C"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7AD023C4"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1DF91895"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gNB Self-interference RSI: 120 dB</w:t>
            </w:r>
          </w:p>
          <w:p w14:paraId="7830C1B3"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gNB-to-gNB inter-site: ACLR: 45 dB, ACS: 46 </w:t>
            </w:r>
            <w:proofErr w:type="spellStart"/>
            <w:r w:rsidRPr="002B6DA7">
              <w:rPr>
                <w:rFonts w:eastAsia="Symbol"/>
                <w:sz w:val="18"/>
                <w:lang w:val="en-US"/>
              </w:rPr>
              <w:t>dB.</w:t>
            </w:r>
            <w:proofErr w:type="spellEnd"/>
          </w:p>
          <w:p w14:paraId="0183EB5D"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UE-to-UE: IBE requirements defined in TS38.101-1 and TS38.101-2 for Tx model.</w:t>
            </w:r>
          </w:p>
          <w:p w14:paraId="3CE901A9"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 selectivity model according to recent RAN1 working assumptions. UE ICS = 33 dB</w:t>
            </w:r>
          </w:p>
        </w:tc>
      </w:tr>
      <w:tr w:rsidR="002572EB" w:rsidRPr="002B6DA7" w14:paraId="20B018CE"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3C3C86D2" w14:textId="77777777" w:rsidR="002572EB" w:rsidRPr="002B6DA7" w:rsidRDefault="002572EB">
            <w:pPr>
              <w:keepNext/>
              <w:keepLines/>
              <w:spacing w:after="0"/>
              <w:contextualSpacing/>
              <w:rPr>
                <w:rFonts w:eastAsia="Symbol"/>
                <w:sz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790CE97F" w14:textId="77777777" w:rsidR="002572EB" w:rsidRDefault="002572EB">
            <w:pPr>
              <w:spacing w:after="0"/>
              <w:rPr>
                <w:sz w:val="18"/>
                <w:szCs w:val="18"/>
                <w:lang w:val="en-US"/>
              </w:rPr>
            </w:pPr>
            <w:r>
              <w:rPr>
                <w:sz w:val="18"/>
                <w:szCs w:val="18"/>
                <w:lang w:val="en-US"/>
              </w:rPr>
              <w:t>BS: piece-wise noise figure model with A = -35 dBm, B = -17 dBm, C = 13 dB, D = 22 dB</w:t>
            </w:r>
          </w:p>
          <w:p w14:paraId="7F66AAB7" w14:textId="77777777" w:rsidR="002572EB" w:rsidRPr="002B6DA7" w:rsidRDefault="002572EB">
            <w:pPr>
              <w:keepNext/>
              <w:keepLines/>
              <w:spacing w:after="0"/>
              <w:contextualSpacing/>
              <w:rPr>
                <w:rFonts w:eastAsia="Symbol"/>
                <w:sz w:val="18"/>
                <w:lang w:val="en-US"/>
              </w:rPr>
            </w:pPr>
            <w:r>
              <w:rPr>
                <w:sz w:val="18"/>
                <w:szCs w:val="18"/>
                <w:lang w:val="en-US"/>
              </w:rPr>
              <w:t>UE: 9 dB</w:t>
            </w:r>
          </w:p>
        </w:tc>
      </w:tr>
    </w:tbl>
    <w:p w14:paraId="1EB46716" w14:textId="77777777" w:rsidR="002572EB" w:rsidRPr="002B6DA7" w:rsidRDefault="002572EB" w:rsidP="002572EB">
      <w:pPr>
        <w:spacing w:after="0"/>
        <w:rPr>
          <w:lang w:val="en-US"/>
        </w:rPr>
      </w:pPr>
    </w:p>
    <w:p w14:paraId="09E37F14" w14:textId="77777777" w:rsidR="002572EB" w:rsidRPr="002B6DA7" w:rsidRDefault="002572EB" w:rsidP="002572EB">
      <w:pPr>
        <w:spacing w:after="0"/>
        <w:rPr>
          <w:lang w:val="en-US"/>
        </w:rPr>
      </w:pPr>
    </w:p>
    <w:p w14:paraId="778ECBB3" w14:textId="77777777" w:rsidR="002572EB" w:rsidRPr="002B6DA7" w:rsidRDefault="002572EB" w:rsidP="002572EB">
      <w:pPr>
        <w:spacing w:after="0"/>
        <w:rPr>
          <w:lang w:val="en-US"/>
        </w:rPr>
      </w:pPr>
    </w:p>
    <w:p w14:paraId="3C297D07" w14:textId="77777777" w:rsidR="002572EB" w:rsidRPr="002B6DA7" w:rsidRDefault="002572EB" w:rsidP="002572EB">
      <w:pPr>
        <w:spacing w:after="0"/>
        <w:rPr>
          <w:lang w:val="en-US"/>
        </w:rPr>
      </w:pPr>
    </w:p>
    <w:p w14:paraId="1EAE37B5" w14:textId="77777777" w:rsidR="002572EB" w:rsidRPr="002B6DA7" w:rsidRDefault="002572EB" w:rsidP="002572EB">
      <w:pPr>
        <w:spacing w:after="0"/>
        <w:rPr>
          <w:lang w:val="en-US"/>
        </w:rPr>
      </w:pPr>
    </w:p>
    <w:p w14:paraId="1C9BDD25" w14:textId="77777777" w:rsidR="002572EB" w:rsidRPr="002B6DA7" w:rsidRDefault="002572EB" w:rsidP="002572EB">
      <w:pPr>
        <w:spacing w:after="0"/>
        <w:rPr>
          <w:lang w:val="en-US"/>
        </w:rPr>
      </w:pPr>
    </w:p>
    <w:p w14:paraId="227F855F" w14:textId="77777777" w:rsidR="002572EB" w:rsidRPr="002B6DA7" w:rsidRDefault="002572EB" w:rsidP="002572EB">
      <w:pPr>
        <w:spacing w:after="0"/>
        <w:rPr>
          <w:lang w:val="en-US"/>
        </w:rPr>
      </w:pPr>
    </w:p>
    <w:p w14:paraId="112C5871" w14:textId="77777777" w:rsidR="002572EB" w:rsidRPr="002B6DA7" w:rsidRDefault="002572EB" w:rsidP="002572EB">
      <w:pPr>
        <w:spacing w:after="0"/>
        <w:rPr>
          <w:lang w:val="en-US"/>
        </w:rPr>
      </w:pPr>
    </w:p>
    <w:p w14:paraId="6D49B31A" w14:textId="77777777" w:rsidR="002572EB" w:rsidRPr="002B6DA7" w:rsidRDefault="002572EB" w:rsidP="002572EB">
      <w:pPr>
        <w:spacing w:after="0"/>
        <w:rPr>
          <w:lang w:val="en-US"/>
        </w:rPr>
      </w:pPr>
    </w:p>
    <w:p w14:paraId="3F68D44C" w14:textId="77777777" w:rsidR="002572EB" w:rsidRPr="002B6DA7" w:rsidRDefault="002572EB" w:rsidP="002572EB">
      <w:pPr>
        <w:spacing w:after="0"/>
        <w:rPr>
          <w:lang w:val="en-US"/>
        </w:rPr>
      </w:pPr>
    </w:p>
    <w:p w14:paraId="0D988CBA" w14:textId="138F313D" w:rsidR="002572EB" w:rsidRPr="002B6DA7" w:rsidRDefault="002572EB" w:rsidP="002572EB">
      <w:pPr>
        <w:pStyle w:val="Caption"/>
        <w:keepNext/>
        <w:spacing w:after="0"/>
        <w:jc w:val="center"/>
        <w:rPr>
          <w:b w:val="0"/>
          <w:bCs/>
          <w:lang w:val="en-US"/>
        </w:rPr>
      </w:pPr>
      <w:r w:rsidRPr="002B6DA7">
        <w:rPr>
          <w:b w:val="0"/>
          <w:bCs/>
          <w:color w:val="000000" w:themeColor="text1"/>
          <w:lang w:val="en-US"/>
        </w:rPr>
        <w:t xml:space="preserve">Table </w:t>
      </w:r>
      <w:r w:rsidR="00696134">
        <w:rPr>
          <w:b w:val="0"/>
          <w:bCs/>
          <w:color w:val="000000" w:themeColor="text1"/>
          <w:lang w:val="en-US"/>
        </w:rPr>
        <w:t>B3</w:t>
      </w:r>
      <w:r w:rsidRPr="002B6DA7">
        <w:rPr>
          <w:b w:val="0"/>
          <w:bCs/>
          <w:color w:val="000000" w:themeColor="text1"/>
          <w:lang w:val="en-US"/>
        </w:rPr>
        <w:t>: Si</w:t>
      </w:r>
      <w:r w:rsidRPr="002B6DA7">
        <w:rPr>
          <w:b w:val="0"/>
          <w:bCs/>
          <w:lang w:val="en-US"/>
        </w:rPr>
        <w:t>mulation assumptions for FR2-1 Indoor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2572EB" w:rsidRPr="002B6DA7" w14:paraId="270B9813"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305B81B4" w14:textId="77777777" w:rsidR="002572EB" w:rsidRPr="002B6DA7" w:rsidRDefault="002572EB">
            <w:pPr>
              <w:keepNext/>
              <w:keepLines/>
              <w:overflowPunct/>
              <w:autoSpaceDE/>
              <w:autoSpaceDN/>
              <w:adjustRightInd/>
              <w:spacing w:after="0"/>
              <w:textAlignment w:val="auto"/>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418BB0D4" w14:textId="77777777" w:rsidR="002572EB" w:rsidRPr="002B6DA7" w:rsidRDefault="002572EB">
            <w:pPr>
              <w:keepNext/>
              <w:keepLines/>
              <w:overflowPunct/>
              <w:autoSpaceDE/>
              <w:autoSpaceDN/>
              <w:adjustRightInd/>
              <w:spacing w:after="0"/>
              <w:textAlignment w:val="auto"/>
              <w:rPr>
                <w:rFonts w:eastAsia="Symbol"/>
                <w:b/>
                <w:sz w:val="18"/>
                <w:lang w:val="en-US" w:eastAsia="zh-CN"/>
              </w:rPr>
            </w:pPr>
            <w:r w:rsidRPr="002B6DA7">
              <w:rPr>
                <w:rFonts w:eastAsia="Symbol"/>
                <w:b/>
                <w:sz w:val="18"/>
                <w:lang w:val="en-US" w:eastAsia="zh-CN"/>
              </w:rPr>
              <w:t>Value</w:t>
            </w:r>
          </w:p>
        </w:tc>
      </w:tr>
      <w:tr w:rsidR="002572EB" w:rsidRPr="002B6DA7" w14:paraId="27659DE2"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2D5C954"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5E994660" w14:textId="77777777" w:rsidR="002572EB" w:rsidRPr="002B6DA7" w:rsidRDefault="002572EB">
            <w:pPr>
              <w:spacing w:after="0"/>
              <w:contextualSpacing/>
              <w:rPr>
                <w:rFonts w:eastAsia="Symbol"/>
                <w:sz w:val="18"/>
                <w:lang w:val="en-US"/>
              </w:rPr>
            </w:pPr>
            <w:r w:rsidRPr="002B6DA7">
              <w:rPr>
                <w:rFonts w:eastAsia="Symbol"/>
                <w:sz w:val="18"/>
                <w:lang w:val="en-US"/>
              </w:rPr>
              <w:t xml:space="preserve">TR 38.901 Indoor Office of 120x50x3 meter with 12 cells deployed in the ceiling with </w:t>
            </w:r>
            <w:proofErr w:type="gramStart"/>
            <w:r w:rsidRPr="002B6DA7">
              <w:rPr>
                <w:rFonts w:eastAsia="Symbol"/>
                <w:sz w:val="18"/>
                <w:lang w:val="en-US"/>
              </w:rPr>
              <w:t>20 meter</w:t>
            </w:r>
            <w:proofErr w:type="gramEnd"/>
            <w:r w:rsidRPr="002B6DA7">
              <w:rPr>
                <w:rFonts w:eastAsia="Symbol"/>
                <w:sz w:val="18"/>
                <w:lang w:val="en-US"/>
              </w:rPr>
              <w:t xml:space="preserve"> inter-site distance.</w:t>
            </w:r>
          </w:p>
          <w:p w14:paraId="392DA6D2" w14:textId="77777777" w:rsidR="002572EB" w:rsidRPr="002B6DA7" w:rsidRDefault="002572EB">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2572EB" w:rsidRPr="002B6DA7" w14:paraId="2484BE2A"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066A78B"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7D363B10" w14:textId="77777777" w:rsidR="002572EB" w:rsidRPr="002B6DA7" w:rsidRDefault="002572EB">
            <w:pPr>
              <w:spacing w:after="0"/>
              <w:contextualSpacing/>
              <w:rPr>
                <w:rFonts w:eastAsia="Symbol"/>
                <w:sz w:val="18"/>
                <w:lang w:val="en-US"/>
              </w:rPr>
            </w:pPr>
            <w:r w:rsidRPr="002B6DA7">
              <w:rPr>
                <w:rFonts w:eastAsia="Symbol"/>
                <w:sz w:val="18"/>
                <w:lang w:val="en-US"/>
              </w:rPr>
              <w:t>120 kHz</w:t>
            </w:r>
          </w:p>
        </w:tc>
      </w:tr>
      <w:tr w:rsidR="002572EB" w:rsidRPr="002B6DA7" w14:paraId="5C6061D7"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38021F5"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35A37F88" w14:textId="77777777" w:rsidR="002572EB" w:rsidRPr="002B6DA7" w:rsidRDefault="002572EB">
            <w:pPr>
              <w:spacing w:after="0"/>
              <w:contextualSpacing/>
              <w:rPr>
                <w:rFonts w:eastAsia="Symbol"/>
                <w:sz w:val="18"/>
                <w:lang w:val="en-US"/>
              </w:rPr>
            </w:pPr>
            <w:r w:rsidRPr="002B6DA7">
              <w:rPr>
                <w:rFonts w:eastAsia="Symbol"/>
                <w:sz w:val="18"/>
                <w:lang w:val="en-US"/>
              </w:rPr>
              <w:t>200 MHz, 132 RBs</w:t>
            </w:r>
          </w:p>
        </w:tc>
      </w:tr>
      <w:tr w:rsidR="002572EB" w:rsidRPr="002B6DA7" w14:paraId="2DEC54A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8966259"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gNB total transmit power</w:t>
            </w:r>
          </w:p>
        </w:tc>
        <w:tc>
          <w:tcPr>
            <w:tcW w:w="7153" w:type="dxa"/>
            <w:tcBorders>
              <w:top w:val="single" w:sz="4" w:space="0" w:color="auto"/>
              <w:left w:val="single" w:sz="4" w:space="0" w:color="auto"/>
              <w:bottom w:val="single" w:sz="4" w:space="0" w:color="auto"/>
              <w:right w:val="single" w:sz="4" w:space="0" w:color="auto"/>
            </w:tcBorders>
          </w:tcPr>
          <w:p w14:paraId="3C47EA17" w14:textId="77777777" w:rsidR="002572EB" w:rsidRPr="002B6DA7" w:rsidRDefault="002572EB">
            <w:pPr>
              <w:spacing w:after="0"/>
              <w:contextualSpacing/>
              <w:rPr>
                <w:rFonts w:eastAsia="Symbol"/>
                <w:sz w:val="18"/>
                <w:lang w:val="en-US"/>
              </w:rPr>
            </w:pPr>
            <w:r w:rsidRPr="002B6DA7">
              <w:rPr>
                <w:rFonts w:eastAsia="Symbol"/>
                <w:sz w:val="18"/>
                <w:lang w:val="en-US"/>
              </w:rPr>
              <w:t>24 dBm</w:t>
            </w:r>
          </w:p>
        </w:tc>
      </w:tr>
      <w:tr w:rsidR="002572EB" w:rsidRPr="002B6DA7" w14:paraId="3FBAC40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E77DAB6"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370E6EBB"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23 dBm</w:t>
            </w:r>
          </w:p>
        </w:tc>
      </w:tr>
      <w:tr w:rsidR="002572EB" w:rsidRPr="002B6DA7" w14:paraId="7861D86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AFE9D40"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14E38B40"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120 randomly distributed UEs in the office area.</w:t>
            </w:r>
          </w:p>
        </w:tc>
      </w:tr>
      <w:tr w:rsidR="002572EB" w:rsidRPr="002B6DA7" w14:paraId="34458DA8"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CB81CE5"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1E3954A3"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p w14:paraId="1870A3B8"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FTP3 UL and DL traffic; 1kB payload size in UL and 4kB in DL </w:t>
            </w:r>
          </w:p>
        </w:tc>
      </w:tr>
      <w:tr w:rsidR="002572EB" w:rsidRPr="002B6DA7" w14:paraId="5ED0956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B582844"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300DA86C"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gNB-UE, UE-UE and </w:t>
            </w: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InH</w:t>
            </w:r>
            <w:proofErr w:type="spellEnd"/>
          </w:p>
          <w:p w14:paraId="17030A7C" w14:textId="77777777" w:rsidR="002572EB" w:rsidRPr="002B6DA7" w:rsidRDefault="002572EB">
            <w:pPr>
              <w:keepNext/>
              <w:keepLines/>
              <w:spacing w:after="0"/>
              <w:contextualSpacing/>
              <w:rPr>
                <w:rFonts w:eastAsia="Symbol"/>
                <w:sz w:val="18"/>
                <w:lang w:val="en-US"/>
              </w:rPr>
            </w:pPr>
          </w:p>
          <w:p w14:paraId="6AB5E2F4"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Both large-scale and small-scale fading effects are modeled between all gNB-gNB and UE-UE links.</w:t>
            </w:r>
          </w:p>
        </w:tc>
      </w:tr>
      <w:tr w:rsidR="002572EB" w:rsidRPr="002B6DA7" w14:paraId="5159C1F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300D722" w14:textId="77777777" w:rsidR="002572EB" w:rsidRPr="002B6DA7" w:rsidRDefault="002572EB">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249DBBD"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 xml:space="preserve">TDD: </w:t>
            </w:r>
          </w:p>
          <w:p w14:paraId="767FB7D4" w14:textId="77777777" w:rsidR="002572EB" w:rsidRPr="005F292B" w:rsidRDefault="002572EB">
            <w:pPr>
              <w:keepNext/>
              <w:keepLines/>
              <w:spacing w:after="0"/>
              <w:contextualSpacing/>
              <w:rPr>
                <w:rFonts w:eastAsia="Symbol"/>
                <w:sz w:val="18"/>
                <w:lang w:val="da-DK" w:eastAsia="zh-CN"/>
              </w:rPr>
            </w:pPr>
            <w:r w:rsidRPr="005F292B">
              <w:rPr>
                <w:rFonts w:eastAsia="Symbol"/>
                <w:sz w:val="18"/>
                <w:lang w:val="da-DK" w:eastAsia="zh-CN"/>
              </w:rPr>
              <w:t xml:space="preserve">(M, N, P, Mg, Ng; Mp, </w:t>
            </w:r>
            <w:proofErr w:type="spellStart"/>
            <w:r w:rsidRPr="005F292B">
              <w:rPr>
                <w:rFonts w:eastAsia="Symbol"/>
                <w:sz w:val="18"/>
                <w:lang w:val="da-DK" w:eastAsia="zh-CN"/>
              </w:rPr>
              <w:t>Np</w:t>
            </w:r>
            <w:proofErr w:type="spellEnd"/>
            <w:r w:rsidRPr="005F292B">
              <w:rPr>
                <w:rFonts w:eastAsia="Symbol"/>
                <w:sz w:val="18"/>
                <w:lang w:val="da-DK" w:eastAsia="zh-CN"/>
              </w:rPr>
              <w:t>) = (16, 8, 2, 1, 1; 1, 1);</w:t>
            </w:r>
          </w:p>
          <w:p w14:paraId="1CBC2C84" w14:textId="77777777" w:rsidR="002572EB" w:rsidRPr="005F292B" w:rsidRDefault="002572EB">
            <w:pPr>
              <w:keepNext/>
              <w:keepLines/>
              <w:spacing w:after="0"/>
              <w:contextualSpacing/>
              <w:rPr>
                <w:rFonts w:eastAsia="Symbol"/>
                <w:sz w:val="18"/>
                <w:lang w:val="da-DK" w:eastAsia="zh-CN"/>
              </w:rPr>
            </w:pPr>
          </w:p>
          <w:p w14:paraId="7A047806" w14:textId="77777777" w:rsidR="002572EB" w:rsidRPr="00C81CC7" w:rsidRDefault="002572EB">
            <w:pPr>
              <w:keepNext/>
              <w:keepLines/>
              <w:spacing w:after="0"/>
              <w:contextualSpacing/>
              <w:rPr>
                <w:rFonts w:eastAsia="Symbol"/>
                <w:sz w:val="18"/>
                <w:szCs w:val="18"/>
                <w:lang w:val="da-DK" w:eastAsia="zh-CN"/>
              </w:rPr>
            </w:pPr>
            <w:r w:rsidRPr="00C81CC7">
              <w:rPr>
                <w:rFonts w:eastAsia="Symbol"/>
                <w:sz w:val="18"/>
                <w:szCs w:val="18"/>
                <w:lang w:val="da-DK" w:eastAsia="zh-CN"/>
              </w:rPr>
              <w:t>SBFD (</w:t>
            </w:r>
            <w:proofErr w:type="spellStart"/>
            <w:r w:rsidRPr="00C81CC7">
              <w:rPr>
                <w:rFonts w:eastAsia="Symbol"/>
                <w:sz w:val="18"/>
                <w:szCs w:val="18"/>
                <w:lang w:val="da-DK" w:eastAsia="zh-CN"/>
              </w:rPr>
              <w:t>Opt</w:t>
            </w:r>
            <w:proofErr w:type="spellEnd"/>
            <w:r w:rsidRPr="00C81CC7">
              <w:rPr>
                <w:rFonts w:eastAsia="Symbol"/>
                <w:sz w:val="18"/>
                <w:szCs w:val="18"/>
                <w:lang w:val="da-DK" w:eastAsia="zh-CN"/>
              </w:rPr>
              <w:t xml:space="preserve"> 2):</w:t>
            </w:r>
          </w:p>
          <w:p w14:paraId="187D879A" w14:textId="77777777" w:rsidR="002572EB" w:rsidRPr="00DD1747" w:rsidRDefault="002572EB">
            <w:pPr>
              <w:keepNext/>
              <w:keepLines/>
              <w:spacing w:after="0"/>
              <w:contextualSpacing/>
              <w:rPr>
                <w:rFonts w:eastAsia="Symbol"/>
                <w:sz w:val="18"/>
                <w:lang w:val="da-DK" w:eastAsia="zh-CN"/>
              </w:rPr>
            </w:pPr>
            <w:r w:rsidRPr="00DD1747">
              <w:rPr>
                <w:rFonts w:eastAsia="Symbol"/>
                <w:sz w:val="18"/>
                <w:lang w:val="da-DK" w:eastAsia="zh-CN"/>
              </w:rPr>
              <w:t xml:space="preserve">(M, N, P, Mg, Ng; Mp, </w:t>
            </w:r>
            <w:proofErr w:type="spellStart"/>
            <w:r w:rsidRPr="00DD1747">
              <w:rPr>
                <w:rFonts w:eastAsia="Symbol"/>
                <w:sz w:val="18"/>
                <w:lang w:val="da-DK" w:eastAsia="zh-CN"/>
              </w:rPr>
              <w:t>Np</w:t>
            </w:r>
            <w:proofErr w:type="spellEnd"/>
            <w:r w:rsidRPr="00DD1747">
              <w:rPr>
                <w:rFonts w:eastAsia="Symbol"/>
                <w:sz w:val="18"/>
                <w:lang w:val="da-DK" w:eastAsia="zh-CN"/>
              </w:rPr>
              <w:t>) = (16, 8, 2, 1, 1; 1, 1);</w:t>
            </w:r>
          </w:p>
          <w:p w14:paraId="22C7D785" w14:textId="77777777" w:rsidR="002572EB" w:rsidRPr="00DD1747" w:rsidRDefault="002572EB">
            <w:pPr>
              <w:keepNext/>
              <w:keepLines/>
              <w:spacing w:after="0"/>
              <w:contextualSpacing/>
              <w:rPr>
                <w:rFonts w:eastAsia="Symbol"/>
                <w:sz w:val="18"/>
                <w:szCs w:val="18"/>
                <w:highlight w:val="green"/>
                <w:lang w:val="da-DK"/>
              </w:rPr>
            </w:pPr>
          </w:p>
          <w:p w14:paraId="67A3C21C" w14:textId="77777777" w:rsidR="002572EB" w:rsidRPr="002B6DA7" w:rsidRDefault="002572EB">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0.5</w:t>
            </w:r>
            <w:proofErr w:type="gramStart"/>
            <w:r w:rsidRPr="002B6DA7">
              <w:rPr>
                <w:rFonts w:eastAsia="Symbol"/>
                <w:sz w:val="18"/>
                <w:lang w:val="en-US"/>
              </w:rPr>
              <w:t>λ;</w:t>
            </w:r>
            <w:proofErr w:type="gramEnd"/>
          </w:p>
          <w:p w14:paraId="105AA03D" w14:textId="77777777" w:rsidR="002572EB" w:rsidRPr="002B6DA7" w:rsidRDefault="002572EB">
            <w:pPr>
              <w:keepNext/>
              <w:keepLines/>
              <w:spacing w:after="0"/>
              <w:contextualSpacing/>
              <w:rPr>
                <w:rFonts w:eastAsia="Symbol"/>
                <w:sz w:val="18"/>
                <w:lang w:val="en-US"/>
              </w:rPr>
            </w:pPr>
            <w:proofErr w:type="gramStart"/>
            <w:r w:rsidRPr="002B6DA7">
              <w:rPr>
                <w:rFonts w:eastAsia="Symbol"/>
                <w:sz w:val="18"/>
                <w:lang w:val="en-US" w:eastAsia="ko-KR"/>
              </w:rPr>
              <w:t>90 degree</w:t>
            </w:r>
            <w:proofErr w:type="gramEnd"/>
            <w:r w:rsidRPr="002B6DA7">
              <w:rPr>
                <w:rFonts w:eastAsia="Symbol"/>
                <w:sz w:val="18"/>
                <w:lang w:val="en-US" w:eastAsia="ko-KR"/>
              </w:rPr>
              <w:t xml:space="preserve"> mechanical tilt (pointing to the floor)</w:t>
            </w:r>
          </w:p>
          <w:p w14:paraId="7FC2057E" w14:textId="77777777" w:rsidR="002572EB" w:rsidRPr="002B6DA7" w:rsidRDefault="002572EB">
            <w:pPr>
              <w:keepNext/>
              <w:keepLines/>
              <w:spacing w:after="0"/>
              <w:contextualSpacing/>
              <w:rPr>
                <w:rFonts w:eastAsia="Symbol"/>
                <w:sz w:val="18"/>
                <w:highlight w:val="green"/>
                <w:lang w:val="en-US"/>
              </w:rPr>
            </w:pPr>
          </w:p>
        </w:tc>
      </w:tr>
      <w:tr w:rsidR="002572EB" w:rsidRPr="002B6DA7" w14:paraId="1FD70EC3"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7B72D8B3"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7FF03F2A"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zh-CN"/>
              </w:rPr>
              <w:t xml:space="preserve">4Tx/4 Rx antenna ports </w:t>
            </w:r>
          </w:p>
          <w:p w14:paraId="3EB41D14" w14:textId="77777777" w:rsidR="002572EB" w:rsidRPr="002B6DA7" w:rsidRDefault="002572EB">
            <w:pPr>
              <w:keepNext/>
              <w:keepLines/>
              <w:spacing w:after="0"/>
              <w:contextualSpacing/>
              <w:rPr>
                <w:rFonts w:eastAsia="Symbol"/>
                <w:sz w:val="18"/>
                <w:szCs w:val="18"/>
                <w:lang w:val="en-US" w:eastAsia="zh-CN"/>
              </w:rPr>
            </w:pPr>
            <w:r w:rsidRPr="002B6DA7">
              <w:rPr>
                <w:rFonts w:eastAsia="Symbol"/>
                <w:sz w:val="18"/>
                <w:szCs w:val="18"/>
                <w:lang w:val="en-US"/>
              </w:rPr>
              <w:t xml:space="preserve">(M, N, P, Mg, Ng; </w:t>
            </w:r>
            <w:proofErr w:type="spellStart"/>
            <w:r w:rsidRPr="002B6DA7">
              <w:rPr>
                <w:rFonts w:eastAsia="Symbol"/>
                <w:sz w:val="18"/>
                <w:szCs w:val="18"/>
                <w:lang w:val="en-US"/>
              </w:rPr>
              <w:t>Mp</w:t>
            </w:r>
            <w:proofErr w:type="spellEnd"/>
            <w:r w:rsidRPr="002B6DA7">
              <w:rPr>
                <w:rFonts w:eastAsia="Symbol"/>
                <w:sz w:val="18"/>
                <w:szCs w:val="18"/>
                <w:lang w:val="en-US"/>
              </w:rPr>
              <w:t>, Np) = (</w:t>
            </w:r>
            <w:r w:rsidRPr="002B6DA7">
              <w:rPr>
                <w:rFonts w:eastAsia="Symbol"/>
                <w:sz w:val="18"/>
                <w:szCs w:val="18"/>
                <w:lang w:val="en-US" w:eastAsia="zh-CN"/>
              </w:rPr>
              <w:t>2, 4, 2, 1, 2; 1, 1)</w:t>
            </w:r>
          </w:p>
          <w:p w14:paraId="1ECC549F" w14:textId="77777777" w:rsidR="002572EB" w:rsidRPr="002B6DA7" w:rsidRDefault="002572EB">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2572EB" w:rsidRPr="002B6DA7" w14:paraId="3071D553"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85E0EC2"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6B68D9A1"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2572EB" w:rsidRPr="002B6DA7" w14:paraId="7ABB625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A1190EB"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2EF150F4" w14:textId="77777777" w:rsidR="002572EB" w:rsidRPr="002B6DA7" w:rsidRDefault="002572EB">
            <w:pPr>
              <w:keepNext/>
              <w:keepLines/>
              <w:spacing w:after="0"/>
              <w:contextualSpacing/>
              <w:rPr>
                <w:rFonts w:eastAsia="Symbol"/>
                <w:sz w:val="18"/>
                <w:lang w:val="en-US" w:eastAsia="zh-CN"/>
              </w:rPr>
            </w:pPr>
            <w:r w:rsidRPr="002B6DA7">
              <w:rPr>
                <w:rFonts w:eastAsia="Symbol"/>
                <w:sz w:val="18"/>
                <w:lang w:val="en-US"/>
              </w:rPr>
              <w:t>Open-loop power control with alpha = 0.6 and p0=-60</w:t>
            </w:r>
          </w:p>
        </w:tc>
      </w:tr>
      <w:tr w:rsidR="002572EB" w:rsidRPr="002B6DA7" w14:paraId="003BFC4E"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1B8FC01" w14:textId="77777777" w:rsidR="002572EB" w:rsidRPr="002B6DA7" w:rsidRDefault="002572EB">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30A855A8"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DL: Single user MIMO with rank 1</w:t>
            </w:r>
          </w:p>
          <w:p w14:paraId="44EAD6B7"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UL: Single user MIMO with rank 1</w:t>
            </w:r>
          </w:p>
        </w:tc>
      </w:tr>
      <w:tr w:rsidR="002572EB" w:rsidRPr="002B6DA7" w14:paraId="173DFE5D"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184AFD4D"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0FE438F6"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TDD: DDDSU with S=[12D:2G:0U]</w:t>
            </w:r>
          </w:p>
          <w:p w14:paraId="4169E9E0"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SBFD: XXXXX with X denoting a SBFD slot with DGUGU = [52, 1, 26, 1, 52] PRB assignment. “D”, “U” and “G” refers to downlink subband, uplink subband and guard bands, respectively.</w:t>
            </w:r>
          </w:p>
        </w:tc>
      </w:tr>
      <w:tr w:rsidR="002572EB" w:rsidRPr="002B6DA7" w14:paraId="52F2736F"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4054067C"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72898E92"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gNB Self-interference RSI: 120 dB</w:t>
            </w:r>
          </w:p>
          <w:p w14:paraId="222F7AD7"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 xml:space="preserve">gNB-to-gNB inter-site: ACLR: 28 dB, ACS: 23.5 </w:t>
            </w:r>
            <w:proofErr w:type="spellStart"/>
            <w:r w:rsidRPr="002B6DA7">
              <w:rPr>
                <w:rFonts w:eastAsia="Symbol"/>
                <w:sz w:val="18"/>
                <w:lang w:val="en-US"/>
              </w:rPr>
              <w:t>dB.</w:t>
            </w:r>
            <w:proofErr w:type="spellEnd"/>
          </w:p>
          <w:p w14:paraId="12885111"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UE-to-UE: IBE requirements defined in TS38.101-1 and TS38.101-2 for Tx model.</w:t>
            </w:r>
          </w:p>
          <w:p w14:paraId="129AAD2E" w14:textId="77777777" w:rsidR="002572EB" w:rsidRPr="002B6DA7" w:rsidRDefault="002572EB">
            <w:pPr>
              <w:keepNext/>
              <w:keepLines/>
              <w:spacing w:after="0"/>
              <w:contextualSpacing/>
              <w:rPr>
                <w:rFonts w:eastAsia="Symbol"/>
                <w:sz w:val="18"/>
                <w:lang w:val="en-US"/>
              </w:rPr>
            </w:pPr>
            <w:r w:rsidRPr="002B6DA7">
              <w:rPr>
                <w:rFonts w:eastAsia="Symbol"/>
                <w:sz w:val="18"/>
                <w:lang w:val="en-US"/>
              </w:rPr>
              <w:t>UE selectivity model according to recent RAN1 working assumptions. UE ICS = 23 dB</w:t>
            </w:r>
          </w:p>
        </w:tc>
      </w:tr>
      <w:tr w:rsidR="002572EB" w:rsidRPr="002B6DA7" w14:paraId="68A643F4"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3A434C3B" w14:textId="77777777" w:rsidR="002572EB" w:rsidRPr="002B6DA7" w:rsidRDefault="002572EB">
            <w:pPr>
              <w:keepNext/>
              <w:keepLines/>
              <w:spacing w:after="0"/>
              <w:contextualSpacing/>
              <w:rPr>
                <w:rFonts w:eastAsia="Symbol"/>
                <w:sz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42D04448" w14:textId="77777777" w:rsidR="002572EB" w:rsidRDefault="002572EB">
            <w:pPr>
              <w:spacing w:after="0"/>
              <w:rPr>
                <w:sz w:val="18"/>
                <w:szCs w:val="18"/>
                <w:lang w:val="en-US"/>
              </w:rPr>
            </w:pPr>
            <w:r>
              <w:rPr>
                <w:sz w:val="18"/>
                <w:szCs w:val="18"/>
                <w:lang w:val="en-US"/>
              </w:rPr>
              <w:t>BS: piece-wise noise figure model with A = -58 dBm, B = -40 dBm, C = 10 dB, D = 19 dB</w:t>
            </w:r>
          </w:p>
          <w:p w14:paraId="4AD8579F" w14:textId="77777777" w:rsidR="002572EB" w:rsidRPr="002B6DA7" w:rsidRDefault="002572EB">
            <w:pPr>
              <w:keepNext/>
              <w:keepLines/>
              <w:spacing w:after="0"/>
              <w:contextualSpacing/>
              <w:rPr>
                <w:rFonts w:eastAsia="Symbol"/>
                <w:sz w:val="18"/>
                <w:lang w:val="en-US"/>
              </w:rPr>
            </w:pPr>
            <w:r>
              <w:rPr>
                <w:sz w:val="18"/>
                <w:szCs w:val="18"/>
                <w:lang w:val="en-US"/>
              </w:rPr>
              <w:t>UE: 10 dB</w:t>
            </w:r>
          </w:p>
        </w:tc>
      </w:tr>
    </w:tbl>
    <w:p w14:paraId="0BBB1EF8" w14:textId="77777777" w:rsidR="00C85A3A" w:rsidRPr="00BE2F6F" w:rsidRDefault="00C85A3A" w:rsidP="00C85A3A">
      <w:pPr>
        <w:rPr>
          <w:color w:val="FF0000"/>
          <w:lang w:val="it-IT"/>
        </w:rPr>
      </w:pPr>
    </w:p>
    <w:p w14:paraId="2AA88444" w14:textId="77777777" w:rsidR="000C5B5B" w:rsidRPr="001800A3" w:rsidRDefault="000C5B5B" w:rsidP="00867594">
      <w:pPr>
        <w:rPr>
          <w:lang w:val="en-US"/>
        </w:rPr>
      </w:pPr>
    </w:p>
    <w:sectPr w:rsidR="000C5B5B" w:rsidRPr="001800A3"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FFC268" w14:textId="77777777" w:rsidR="005F0A2C" w:rsidRDefault="005F0A2C">
      <w:r>
        <w:separator/>
      </w:r>
    </w:p>
  </w:endnote>
  <w:endnote w:type="continuationSeparator" w:id="0">
    <w:p w14:paraId="0C7A425E" w14:textId="77777777" w:rsidR="005F0A2C" w:rsidRDefault="005F0A2C">
      <w:r>
        <w:continuationSeparator/>
      </w:r>
    </w:p>
  </w:endnote>
  <w:endnote w:type="continuationNotice" w:id="1">
    <w:p w14:paraId="3A1A468C" w14:textId="77777777" w:rsidR="005F0A2C" w:rsidRDefault="005F0A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auto"/>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SimHei">
    <w:altName w:val="Microsoft YaHei"/>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A84123" w14:textId="77777777" w:rsidR="005F0A2C" w:rsidRDefault="005F0A2C">
      <w:r>
        <w:separator/>
      </w:r>
    </w:p>
  </w:footnote>
  <w:footnote w:type="continuationSeparator" w:id="0">
    <w:p w14:paraId="0487A14D" w14:textId="77777777" w:rsidR="005F0A2C" w:rsidRDefault="005F0A2C">
      <w:r>
        <w:continuationSeparator/>
      </w:r>
    </w:p>
  </w:footnote>
  <w:footnote w:type="continuationNotice" w:id="1">
    <w:p w14:paraId="5CCD2E82" w14:textId="77777777" w:rsidR="005F0A2C" w:rsidRDefault="005F0A2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09E4F47"/>
    <w:multiLevelType w:val="multilevel"/>
    <w:tmpl w:val="2D7C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0E8747D"/>
    <w:multiLevelType w:val="multilevel"/>
    <w:tmpl w:val="D382CA5A"/>
    <w:lvl w:ilvl="0">
      <w:start w:val="1"/>
      <w:numFmt w:val="bullet"/>
      <w:lvlText w:val=""/>
      <w:lvlJc w:val="left"/>
      <w:pPr>
        <w:ind w:left="720" w:hanging="360"/>
      </w:pPr>
      <w:rPr>
        <w:rFonts w:ascii="Symbol" w:hAnsi="Symbol" w:hint="default"/>
      </w:rPr>
    </w:lvl>
    <w:lvl w:ilvl="1">
      <w:start w:val="150"/>
      <w:numFmt w:val="bullet"/>
      <w:lvlText w:val="-"/>
      <w:lvlJc w:val="left"/>
      <w:rPr>
        <w:rFonts w:ascii="Arial" w:eastAsia="Malgun Gothic" w:hAnsi="Arial" w:cs="Arial"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F5E7B"/>
    <w:multiLevelType w:val="hybridMultilevel"/>
    <w:tmpl w:val="D05A8D60"/>
    <w:lvl w:ilvl="0" w:tplc="443AD036">
      <w:start w:val="1"/>
      <w:numFmt w:val="decimal"/>
      <w:pStyle w:val="Observation"/>
      <w:lvlText w:val="Observation %1:"/>
      <w:lvlJc w:val="left"/>
      <w:pPr>
        <w:ind w:left="360" w:hanging="360"/>
      </w:pPr>
    </w:lvl>
    <w:lvl w:ilvl="1" w:tplc="04090003">
      <w:start w:val="1"/>
      <w:numFmt w:val="bullet"/>
      <w:lvlText w:val="o"/>
      <w:lvlJc w:val="left"/>
      <w:pPr>
        <w:ind w:left="-1111" w:hanging="360"/>
      </w:pPr>
      <w:rPr>
        <w:rFonts w:ascii="Courier New" w:hAnsi="Courier New" w:cs="Courier New" w:hint="default"/>
      </w:rPr>
    </w:lvl>
    <w:lvl w:ilvl="2" w:tplc="04090005" w:tentative="1">
      <w:start w:val="1"/>
      <w:numFmt w:val="bullet"/>
      <w:lvlText w:val=""/>
      <w:lvlJc w:val="left"/>
      <w:pPr>
        <w:ind w:left="-391" w:hanging="360"/>
      </w:pPr>
      <w:rPr>
        <w:rFonts w:ascii="Wingdings" w:hAnsi="Wingdings" w:hint="default"/>
      </w:rPr>
    </w:lvl>
    <w:lvl w:ilvl="3" w:tplc="04090001" w:tentative="1">
      <w:start w:val="1"/>
      <w:numFmt w:val="bullet"/>
      <w:lvlText w:val=""/>
      <w:lvlJc w:val="left"/>
      <w:pPr>
        <w:ind w:left="329" w:hanging="360"/>
      </w:pPr>
      <w:rPr>
        <w:rFonts w:ascii="Symbol" w:hAnsi="Symbol" w:hint="default"/>
      </w:rPr>
    </w:lvl>
    <w:lvl w:ilvl="4" w:tplc="04090003" w:tentative="1">
      <w:start w:val="1"/>
      <w:numFmt w:val="bullet"/>
      <w:lvlText w:val="o"/>
      <w:lvlJc w:val="left"/>
      <w:pPr>
        <w:ind w:left="1049" w:hanging="360"/>
      </w:pPr>
      <w:rPr>
        <w:rFonts w:ascii="Courier New" w:hAnsi="Courier New" w:cs="Courier New" w:hint="default"/>
      </w:rPr>
    </w:lvl>
    <w:lvl w:ilvl="5" w:tplc="04090005" w:tentative="1">
      <w:start w:val="1"/>
      <w:numFmt w:val="bullet"/>
      <w:lvlText w:val=""/>
      <w:lvlJc w:val="left"/>
      <w:pPr>
        <w:ind w:left="1769" w:hanging="360"/>
      </w:pPr>
      <w:rPr>
        <w:rFonts w:ascii="Wingdings" w:hAnsi="Wingdings" w:hint="default"/>
      </w:rPr>
    </w:lvl>
    <w:lvl w:ilvl="6" w:tplc="04090001" w:tentative="1">
      <w:start w:val="1"/>
      <w:numFmt w:val="bullet"/>
      <w:lvlText w:val=""/>
      <w:lvlJc w:val="left"/>
      <w:pPr>
        <w:ind w:left="2489" w:hanging="360"/>
      </w:pPr>
      <w:rPr>
        <w:rFonts w:ascii="Symbol" w:hAnsi="Symbol" w:hint="default"/>
      </w:rPr>
    </w:lvl>
    <w:lvl w:ilvl="7" w:tplc="04090003" w:tentative="1">
      <w:start w:val="1"/>
      <w:numFmt w:val="bullet"/>
      <w:lvlText w:val="o"/>
      <w:lvlJc w:val="left"/>
      <w:pPr>
        <w:ind w:left="3209" w:hanging="360"/>
      </w:pPr>
      <w:rPr>
        <w:rFonts w:ascii="Courier New" w:hAnsi="Courier New" w:cs="Courier New" w:hint="default"/>
      </w:rPr>
    </w:lvl>
    <w:lvl w:ilvl="8" w:tplc="04090005" w:tentative="1">
      <w:start w:val="1"/>
      <w:numFmt w:val="bullet"/>
      <w:lvlText w:val=""/>
      <w:lvlJc w:val="left"/>
      <w:pPr>
        <w:ind w:left="3929" w:hanging="360"/>
      </w:pPr>
      <w:rPr>
        <w:rFonts w:ascii="Wingdings" w:hAnsi="Wingdings" w:hint="default"/>
      </w:rPr>
    </w:lvl>
  </w:abstractNum>
  <w:abstractNum w:abstractNumId="4" w15:restartNumberingAfterBreak="0">
    <w:nsid w:val="01164550"/>
    <w:multiLevelType w:val="multilevel"/>
    <w:tmpl w:val="BB764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2E11CD7"/>
    <w:multiLevelType w:val="multilevel"/>
    <w:tmpl w:val="359E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895EC3"/>
    <w:multiLevelType w:val="multilevel"/>
    <w:tmpl w:val="2CE2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704650C"/>
    <w:multiLevelType w:val="multilevel"/>
    <w:tmpl w:val="8EC47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7365F50"/>
    <w:multiLevelType w:val="multilevel"/>
    <w:tmpl w:val="74A09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74041AA"/>
    <w:multiLevelType w:val="multilevel"/>
    <w:tmpl w:val="9F087F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E3F4326"/>
    <w:multiLevelType w:val="hybridMultilevel"/>
    <w:tmpl w:val="A71C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6B54EF"/>
    <w:multiLevelType w:val="multilevel"/>
    <w:tmpl w:val="0E6B54EF"/>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F4C16C9"/>
    <w:multiLevelType w:val="multilevel"/>
    <w:tmpl w:val="912A8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FC101E0"/>
    <w:multiLevelType w:val="hybridMultilevel"/>
    <w:tmpl w:val="36E2C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C24755"/>
    <w:multiLevelType w:val="hybridMultilevel"/>
    <w:tmpl w:val="8E6E8DB2"/>
    <w:lvl w:ilvl="0" w:tplc="6EFAF87A">
      <w:numFmt w:val="bullet"/>
      <w:lvlText w:val="-"/>
      <w:lvlJc w:val="left"/>
      <w:pPr>
        <w:ind w:left="720" w:hanging="360"/>
      </w:pPr>
      <w:rPr>
        <w:rFonts w:ascii="Times New Roman" w:eastAsia="SimSun" w:hAnsi="Times New Roman" w:cs="Times New Roman" w:hint="default"/>
        <w:color w:val="44546A"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FCE0A1B"/>
    <w:multiLevelType w:val="multilevel"/>
    <w:tmpl w:val="B47449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0AC53C4"/>
    <w:multiLevelType w:val="multilevel"/>
    <w:tmpl w:val="9D3EE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2340554"/>
    <w:multiLevelType w:val="hybridMultilevel"/>
    <w:tmpl w:val="01965A14"/>
    <w:lvl w:ilvl="0" w:tplc="2A34556A">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B43A57"/>
    <w:multiLevelType w:val="multilevel"/>
    <w:tmpl w:val="A8D6A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4D4344D"/>
    <w:multiLevelType w:val="multilevel"/>
    <w:tmpl w:val="6400C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58B3110"/>
    <w:multiLevelType w:val="multilevel"/>
    <w:tmpl w:val="CFFC7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6F9721B"/>
    <w:multiLevelType w:val="multilevel"/>
    <w:tmpl w:val="74902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82E568C"/>
    <w:multiLevelType w:val="multilevel"/>
    <w:tmpl w:val="18EA4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9EA6AA8"/>
    <w:multiLevelType w:val="hybridMultilevel"/>
    <w:tmpl w:val="ECFC14D2"/>
    <w:lvl w:ilvl="0" w:tplc="C108EC3C">
      <w:start w:val="4"/>
      <w:numFmt w:val="bullet"/>
      <w:lvlText w:val="-"/>
      <w:lvlJc w:val="left"/>
      <w:pPr>
        <w:ind w:left="1440" w:hanging="360"/>
      </w:pPr>
      <w:rPr>
        <w:rFonts w:ascii="Times New Roman" w:eastAsia="Malgun Gothic" w:hAnsi="Times New Roman"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6" w15:restartNumberingAfterBreak="0">
    <w:nsid w:val="1A1A1D40"/>
    <w:multiLevelType w:val="multilevel"/>
    <w:tmpl w:val="9BF69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B217E8F"/>
    <w:multiLevelType w:val="multilevel"/>
    <w:tmpl w:val="EEE427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CF803E4"/>
    <w:multiLevelType w:val="multilevel"/>
    <w:tmpl w:val="1CF803E4"/>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9"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1EE26D59"/>
    <w:multiLevelType w:val="hybridMultilevel"/>
    <w:tmpl w:val="93409F52"/>
    <w:lvl w:ilvl="0" w:tplc="20000011">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1FF663ED"/>
    <w:multiLevelType w:val="multilevel"/>
    <w:tmpl w:val="88021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2281A7E"/>
    <w:multiLevelType w:val="multilevel"/>
    <w:tmpl w:val="FFCE4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2722F1C"/>
    <w:multiLevelType w:val="hybridMultilevel"/>
    <w:tmpl w:val="E5FA57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4A34797"/>
    <w:multiLevelType w:val="multilevel"/>
    <w:tmpl w:val="6B401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4A626BA"/>
    <w:multiLevelType w:val="multilevel"/>
    <w:tmpl w:val="F38AB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4EF24EF"/>
    <w:multiLevelType w:val="hybridMultilevel"/>
    <w:tmpl w:val="4DFC4F80"/>
    <w:lvl w:ilvl="0" w:tplc="C108EC3C">
      <w:start w:val="4"/>
      <w:numFmt w:val="bullet"/>
      <w:lvlText w:val="-"/>
      <w:lvlJc w:val="left"/>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6EE3729"/>
    <w:multiLevelType w:val="multilevel"/>
    <w:tmpl w:val="AD54E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7151926"/>
    <w:multiLevelType w:val="multilevel"/>
    <w:tmpl w:val="E2BA9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7397356"/>
    <w:multiLevelType w:val="hybridMultilevel"/>
    <w:tmpl w:val="D8A0F2C4"/>
    <w:lvl w:ilvl="0" w:tplc="20000001">
      <w:start w:val="1"/>
      <w:numFmt w:val="bullet"/>
      <w:lvlText w:val=""/>
      <w:lvlJc w:val="left"/>
      <w:pPr>
        <w:ind w:left="1110" w:hanging="360"/>
      </w:pPr>
      <w:rPr>
        <w:rFonts w:ascii="Symbol" w:hAnsi="Symbol" w:hint="default"/>
      </w:rPr>
    </w:lvl>
    <w:lvl w:ilvl="1" w:tplc="20000003" w:tentative="1">
      <w:start w:val="1"/>
      <w:numFmt w:val="bullet"/>
      <w:lvlText w:val="o"/>
      <w:lvlJc w:val="left"/>
      <w:pPr>
        <w:ind w:left="1830" w:hanging="360"/>
      </w:pPr>
      <w:rPr>
        <w:rFonts w:ascii="Courier New" w:hAnsi="Courier New" w:cs="Courier New" w:hint="default"/>
      </w:rPr>
    </w:lvl>
    <w:lvl w:ilvl="2" w:tplc="20000005" w:tentative="1">
      <w:start w:val="1"/>
      <w:numFmt w:val="bullet"/>
      <w:lvlText w:val=""/>
      <w:lvlJc w:val="left"/>
      <w:pPr>
        <w:ind w:left="2550" w:hanging="360"/>
      </w:pPr>
      <w:rPr>
        <w:rFonts w:ascii="Wingdings" w:hAnsi="Wingdings" w:hint="default"/>
      </w:rPr>
    </w:lvl>
    <w:lvl w:ilvl="3" w:tplc="20000001" w:tentative="1">
      <w:start w:val="1"/>
      <w:numFmt w:val="bullet"/>
      <w:lvlText w:val=""/>
      <w:lvlJc w:val="left"/>
      <w:pPr>
        <w:ind w:left="3270" w:hanging="360"/>
      </w:pPr>
      <w:rPr>
        <w:rFonts w:ascii="Symbol" w:hAnsi="Symbol" w:hint="default"/>
      </w:rPr>
    </w:lvl>
    <w:lvl w:ilvl="4" w:tplc="20000003" w:tentative="1">
      <w:start w:val="1"/>
      <w:numFmt w:val="bullet"/>
      <w:lvlText w:val="o"/>
      <w:lvlJc w:val="left"/>
      <w:pPr>
        <w:ind w:left="3990" w:hanging="360"/>
      </w:pPr>
      <w:rPr>
        <w:rFonts w:ascii="Courier New" w:hAnsi="Courier New" w:cs="Courier New" w:hint="default"/>
      </w:rPr>
    </w:lvl>
    <w:lvl w:ilvl="5" w:tplc="20000005" w:tentative="1">
      <w:start w:val="1"/>
      <w:numFmt w:val="bullet"/>
      <w:lvlText w:val=""/>
      <w:lvlJc w:val="left"/>
      <w:pPr>
        <w:ind w:left="4710" w:hanging="360"/>
      </w:pPr>
      <w:rPr>
        <w:rFonts w:ascii="Wingdings" w:hAnsi="Wingdings" w:hint="default"/>
      </w:rPr>
    </w:lvl>
    <w:lvl w:ilvl="6" w:tplc="20000001" w:tentative="1">
      <w:start w:val="1"/>
      <w:numFmt w:val="bullet"/>
      <w:lvlText w:val=""/>
      <w:lvlJc w:val="left"/>
      <w:pPr>
        <w:ind w:left="5430" w:hanging="360"/>
      </w:pPr>
      <w:rPr>
        <w:rFonts w:ascii="Symbol" w:hAnsi="Symbol" w:hint="default"/>
      </w:rPr>
    </w:lvl>
    <w:lvl w:ilvl="7" w:tplc="20000003" w:tentative="1">
      <w:start w:val="1"/>
      <w:numFmt w:val="bullet"/>
      <w:lvlText w:val="o"/>
      <w:lvlJc w:val="left"/>
      <w:pPr>
        <w:ind w:left="6150" w:hanging="360"/>
      </w:pPr>
      <w:rPr>
        <w:rFonts w:ascii="Courier New" w:hAnsi="Courier New" w:cs="Courier New" w:hint="default"/>
      </w:rPr>
    </w:lvl>
    <w:lvl w:ilvl="8" w:tplc="20000005" w:tentative="1">
      <w:start w:val="1"/>
      <w:numFmt w:val="bullet"/>
      <w:lvlText w:val=""/>
      <w:lvlJc w:val="left"/>
      <w:pPr>
        <w:ind w:left="6870" w:hanging="360"/>
      </w:pPr>
      <w:rPr>
        <w:rFonts w:ascii="Wingdings" w:hAnsi="Wingdings" w:hint="default"/>
      </w:rPr>
    </w:lvl>
  </w:abstractNum>
  <w:abstractNum w:abstractNumId="41" w15:restartNumberingAfterBreak="0">
    <w:nsid w:val="27C85B2A"/>
    <w:multiLevelType w:val="multilevel"/>
    <w:tmpl w:val="4FB2B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8E504F5"/>
    <w:multiLevelType w:val="multilevel"/>
    <w:tmpl w:val="A232CE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9B36EE8"/>
    <w:multiLevelType w:val="hybridMultilevel"/>
    <w:tmpl w:val="1138D608"/>
    <w:lvl w:ilvl="0" w:tplc="20000001">
      <w:start w:val="1"/>
      <w:numFmt w:val="bullet"/>
      <w:lvlText w:val=""/>
      <w:lvlJc w:val="left"/>
      <w:pPr>
        <w:ind w:left="1222" w:hanging="360"/>
      </w:pPr>
      <w:rPr>
        <w:rFonts w:ascii="Symbol" w:hAnsi="Symbol" w:hint="default"/>
      </w:rPr>
    </w:lvl>
    <w:lvl w:ilvl="1" w:tplc="20000003" w:tentative="1">
      <w:start w:val="1"/>
      <w:numFmt w:val="bullet"/>
      <w:lvlText w:val="o"/>
      <w:lvlJc w:val="left"/>
      <w:pPr>
        <w:ind w:left="1942" w:hanging="360"/>
      </w:pPr>
      <w:rPr>
        <w:rFonts w:ascii="Courier New" w:hAnsi="Courier New" w:cs="Courier New" w:hint="default"/>
      </w:rPr>
    </w:lvl>
    <w:lvl w:ilvl="2" w:tplc="20000005" w:tentative="1">
      <w:start w:val="1"/>
      <w:numFmt w:val="bullet"/>
      <w:lvlText w:val=""/>
      <w:lvlJc w:val="left"/>
      <w:pPr>
        <w:ind w:left="2662" w:hanging="360"/>
      </w:pPr>
      <w:rPr>
        <w:rFonts w:ascii="Wingdings" w:hAnsi="Wingdings" w:hint="default"/>
      </w:rPr>
    </w:lvl>
    <w:lvl w:ilvl="3" w:tplc="20000001" w:tentative="1">
      <w:start w:val="1"/>
      <w:numFmt w:val="bullet"/>
      <w:lvlText w:val=""/>
      <w:lvlJc w:val="left"/>
      <w:pPr>
        <w:ind w:left="3382" w:hanging="360"/>
      </w:pPr>
      <w:rPr>
        <w:rFonts w:ascii="Symbol" w:hAnsi="Symbol" w:hint="default"/>
      </w:rPr>
    </w:lvl>
    <w:lvl w:ilvl="4" w:tplc="20000003" w:tentative="1">
      <w:start w:val="1"/>
      <w:numFmt w:val="bullet"/>
      <w:lvlText w:val="o"/>
      <w:lvlJc w:val="left"/>
      <w:pPr>
        <w:ind w:left="4102" w:hanging="360"/>
      </w:pPr>
      <w:rPr>
        <w:rFonts w:ascii="Courier New" w:hAnsi="Courier New" w:cs="Courier New" w:hint="default"/>
      </w:rPr>
    </w:lvl>
    <w:lvl w:ilvl="5" w:tplc="20000005" w:tentative="1">
      <w:start w:val="1"/>
      <w:numFmt w:val="bullet"/>
      <w:lvlText w:val=""/>
      <w:lvlJc w:val="left"/>
      <w:pPr>
        <w:ind w:left="4822" w:hanging="360"/>
      </w:pPr>
      <w:rPr>
        <w:rFonts w:ascii="Wingdings" w:hAnsi="Wingdings" w:hint="default"/>
      </w:rPr>
    </w:lvl>
    <w:lvl w:ilvl="6" w:tplc="20000001" w:tentative="1">
      <w:start w:val="1"/>
      <w:numFmt w:val="bullet"/>
      <w:lvlText w:val=""/>
      <w:lvlJc w:val="left"/>
      <w:pPr>
        <w:ind w:left="5542" w:hanging="360"/>
      </w:pPr>
      <w:rPr>
        <w:rFonts w:ascii="Symbol" w:hAnsi="Symbol" w:hint="default"/>
      </w:rPr>
    </w:lvl>
    <w:lvl w:ilvl="7" w:tplc="20000003" w:tentative="1">
      <w:start w:val="1"/>
      <w:numFmt w:val="bullet"/>
      <w:lvlText w:val="o"/>
      <w:lvlJc w:val="left"/>
      <w:pPr>
        <w:ind w:left="6262" w:hanging="360"/>
      </w:pPr>
      <w:rPr>
        <w:rFonts w:ascii="Courier New" w:hAnsi="Courier New" w:cs="Courier New" w:hint="default"/>
      </w:rPr>
    </w:lvl>
    <w:lvl w:ilvl="8" w:tplc="20000005" w:tentative="1">
      <w:start w:val="1"/>
      <w:numFmt w:val="bullet"/>
      <w:lvlText w:val=""/>
      <w:lvlJc w:val="left"/>
      <w:pPr>
        <w:ind w:left="6982" w:hanging="360"/>
      </w:pPr>
      <w:rPr>
        <w:rFonts w:ascii="Wingdings" w:hAnsi="Wingdings" w:hint="default"/>
      </w:rPr>
    </w:lvl>
  </w:abstractNum>
  <w:abstractNum w:abstractNumId="4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2C5C053B"/>
    <w:multiLevelType w:val="hybridMultilevel"/>
    <w:tmpl w:val="CA2EEEBA"/>
    <w:lvl w:ilvl="0" w:tplc="D398F194">
      <w:start w:val="1"/>
      <w:numFmt w:val="bullet"/>
      <w:lvlText w:val=""/>
      <w:lvlJc w:val="left"/>
      <w:pPr>
        <w:tabs>
          <w:tab w:val="num" w:pos="720"/>
        </w:tabs>
        <w:ind w:left="720" w:hanging="360"/>
      </w:pPr>
      <w:rPr>
        <w:rFonts w:ascii="Symbol" w:hAnsi="Symbol" w:hint="default"/>
      </w:rPr>
    </w:lvl>
    <w:lvl w:ilvl="1" w:tplc="761ECC5A" w:tentative="1">
      <w:start w:val="1"/>
      <w:numFmt w:val="bullet"/>
      <w:lvlText w:val=""/>
      <w:lvlJc w:val="left"/>
      <w:pPr>
        <w:tabs>
          <w:tab w:val="num" w:pos="1440"/>
        </w:tabs>
        <w:ind w:left="1440" w:hanging="360"/>
      </w:pPr>
      <w:rPr>
        <w:rFonts w:ascii="Symbol" w:hAnsi="Symbol" w:hint="default"/>
      </w:rPr>
    </w:lvl>
    <w:lvl w:ilvl="2" w:tplc="11B488B0" w:tentative="1">
      <w:start w:val="1"/>
      <w:numFmt w:val="bullet"/>
      <w:lvlText w:val=""/>
      <w:lvlJc w:val="left"/>
      <w:pPr>
        <w:tabs>
          <w:tab w:val="num" w:pos="2160"/>
        </w:tabs>
        <w:ind w:left="2160" w:hanging="360"/>
      </w:pPr>
      <w:rPr>
        <w:rFonts w:ascii="Symbol" w:hAnsi="Symbol" w:hint="default"/>
      </w:rPr>
    </w:lvl>
    <w:lvl w:ilvl="3" w:tplc="3CECABFE" w:tentative="1">
      <w:start w:val="1"/>
      <w:numFmt w:val="bullet"/>
      <w:lvlText w:val=""/>
      <w:lvlJc w:val="left"/>
      <w:pPr>
        <w:tabs>
          <w:tab w:val="num" w:pos="2880"/>
        </w:tabs>
        <w:ind w:left="2880" w:hanging="360"/>
      </w:pPr>
      <w:rPr>
        <w:rFonts w:ascii="Symbol" w:hAnsi="Symbol" w:hint="default"/>
      </w:rPr>
    </w:lvl>
    <w:lvl w:ilvl="4" w:tplc="9E0475B6" w:tentative="1">
      <w:start w:val="1"/>
      <w:numFmt w:val="bullet"/>
      <w:lvlText w:val=""/>
      <w:lvlJc w:val="left"/>
      <w:pPr>
        <w:tabs>
          <w:tab w:val="num" w:pos="3600"/>
        </w:tabs>
        <w:ind w:left="3600" w:hanging="360"/>
      </w:pPr>
      <w:rPr>
        <w:rFonts w:ascii="Symbol" w:hAnsi="Symbol" w:hint="default"/>
      </w:rPr>
    </w:lvl>
    <w:lvl w:ilvl="5" w:tplc="3CC825AC" w:tentative="1">
      <w:start w:val="1"/>
      <w:numFmt w:val="bullet"/>
      <w:lvlText w:val=""/>
      <w:lvlJc w:val="left"/>
      <w:pPr>
        <w:tabs>
          <w:tab w:val="num" w:pos="4320"/>
        </w:tabs>
        <w:ind w:left="4320" w:hanging="360"/>
      </w:pPr>
      <w:rPr>
        <w:rFonts w:ascii="Symbol" w:hAnsi="Symbol" w:hint="default"/>
      </w:rPr>
    </w:lvl>
    <w:lvl w:ilvl="6" w:tplc="ACD62766" w:tentative="1">
      <w:start w:val="1"/>
      <w:numFmt w:val="bullet"/>
      <w:lvlText w:val=""/>
      <w:lvlJc w:val="left"/>
      <w:pPr>
        <w:tabs>
          <w:tab w:val="num" w:pos="5040"/>
        </w:tabs>
        <w:ind w:left="5040" w:hanging="360"/>
      </w:pPr>
      <w:rPr>
        <w:rFonts w:ascii="Symbol" w:hAnsi="Symbol" w:hint="default"/>
      </w:rPr>
    </w:lvl>
    <w:lvl w:ilvl="7" w:tplc="C4406E18" w:tentative="1">
      <w:start w:val="1"/>
      <w:numFmt w:val="bullet"/>
      <w:lvlText w:val=""/>
      <w:lvlJc w:val="left"/>
      <w:pPr>
        <w:tabs>
          <w:tab w:val="num" w:pos="5760"/>
        </w:tabs>
        <w:ind w:left="5760" w:hanging="360"/>
      </w:pPr>
      <w:rPr>
        <w:rFonts w:ascii="Symbol" w:hAnsi="Symbol" w:hint="default"/>
      </w:rPr>
    </w:lvl>
    <w:lvl w:ilvl="8" w:tplc="FBD6FCD0" w:tentative="1">
      <w:start w:val="1"/>
      <w:numFmt w:val="bullet"/>
      <w:lvlText w:val=""/>
      <w:lvlJc w:val="left"/>
      <w:pPr>
        <w:tabs>
          <w:tab w:val="num" w:pos="6480"/>
        </w:tabs>
        <w:ind w:left="6480" w:hanging="360"/>
      </w:pPr>
      <w:rPr>
        <w:rFonts w:ascii="Symbol" w:hAnsi="Symbol" w:hint="default"/>
      </w:rPr>
    </w:lvl>
  </w:abstractNum>
  <w:abstractNum w:abstractNumId="46" w15:restartNumberingAfterBreak="0">
    <w:nsid w:val="2C852C44"/>
    <w:multiLevelType w:val="multilevel"/>
    <w:tmpl w:val="DAB62D50"/>
    <w:lvl w:ilvl="0">
      <w:start w:val="1"/>
      <w:numFmt w:val="bullet"/>
      <w:lvlText w:val=""/>
      <w:lvlJc w:val="left"/>
      <w:pPr>
        <w:tabs>
          <w:tab w:val="num" w:pos="720"/>
        </w:tabs>
        <w:ind w:left="720" w:hanging="360"/>
      </w:pPr>
      <w:rPr>
        <w:rFonts w:ascii="Symbol" w:hAnsi="Symbol" w:hint="default"/>
        <w:sz w:val="20"/>
      </w:rPr>
    </w:lvl>
    <w:lvl w:ilvl="1">
      <w:start w:val="550"/>
      <w:numFmt w:val="bullet"/>
      <w:lvlText w:val="-"/>
      <w:lvlJc w:val="left"/>
      <w:pPr>
        <w:ind w:left="1440" w:hanging="3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2CD354C4"/>
    <w:multiLevelType w:val="hybridMultilevel"/>
    <w:tmpl w:val="4D6EE8A2"/>
    <w:lvl w:ilvl="0" w:tplc="4118C234">
      <w:start w:val="1"/>
      <w:numFmt w:val="bullet"/>
      <w:lvlText w:val=""/>
      <w:lvlJc w:val="left"/>
      <w:pPr>
        <w:tabs>
          <w:tab w:val="num" w:pos="720"/>
        </w:tabs>
        <w:ind w:left="720" w:hanging="360"/>
      </w:pPr>
      <w:rPr>
        <w:rFonts w:ascii="Symbol" w:hAnsi="Symbol" w:hint="default"/>
      </w:rPr>
    </w:lvl>
    <w:lvl w:ilvl="1" w:tplc="F61047B6" w:tentative="1">
      <w:start w:val="1"/>
      <w:numFmt w:val="bullet"/>
      <w:lvlText w:val=""/>
      <w:lvlJc w:val="left"/>
      <w:pPr>
        <w:tabs>
          <w:tab w:val="num" w:pos="1440"/>
        </w:tabs>
        <w:ind w:left="1440" w:hanging="360"/>
      </w:pPr>
      <w:rPr>
        <w:rFonts w:ascii="Symbol" w:hAnsi="Symbol" w:hint="default"/>
      </w:rPr>
    </w:lvl>
    <w:lvl w:ilvl="2" w:tplc="64A45670" w:tentative="1">
      <w:start w:val="1"/>
      <w:numFmt w:val="bullet"/>
      <w:lvlText w:val=""/>
      <w:lvlJc w:val="left"/>
      <w:pPr>
        <w:tabs>
          <w:tab w:val="num" w:pos="2160"/>
        </w:tabs>
        <w:ind w:left="2160" w:hanging="360"/>
      </w:pPr>
      <w:rPr>
        <w:rFonts w:ascii="Symbol" w:hAnsi="Symbol" w:hint="default"/>
      </w:rPr>
    </w:lvl>
    <w:lvl w:ilvl="3" w:tplc="888E2CD6" w:tentative="1">
      <w:start w:val="1"/>
      <w:numFmt w:val="bullet"/>
      <w:lvlText w:val=""/>
      <w:lvlJc w:val="left"/>
      <w:pPr>
        <w:tabs>
          <w:tab w:val="num" w:pos="2880"/>
        </w:tabs>
        <w:ind w:left="2880" w:hanging="360"/>
      </w:pPr>
      <w:rPr>
        <w:rFonts w:ascii="Symbol" w:hAnsi="Symbol" w:hint="default"/>
      </w:rPr>
    </w:lvl>
    <w:lvl w:ilvl="4" w:tplc="81F62642" w:tentative="1">
      <w:start w:val="1"/>
      <w:numFmt w:val="bullet"/>
      <w:lvlText w:val=""/>
      <w:lvlJc w:val="left"/>
      <w:pPr>
        <w:tabs>
          <w:tab w:val="num" w:pos="3600"/>
        </w:tabs>
        <w:ind w:left="3600" w:hanging="360"/>
      </w:pPr>
      <w:rPr>
        <w:rFonts w:ascii="Symbol" w:hAnsi="Symbol" w:hint="default"/>
      </w:rPr>
    </w:lvl>
    <w:lvl w:ilvl="5" w:tplc="FC54CFDE" w:tentative="1">
      <w:start w:val="1"/>
      <w:numFmt w:val="bullet"/>
      <w:lvlText w:val=""/>
      <w:lvlJc w:val="left"/>
      <w:pPr>
        <w:tabs>
          <w:tab w:val="num" w:pos="4320"/>
        </w:tabs>
        <w:ind w:left="4320" w:hanging="360"/>
      </w:pPr>
      <w:rPr>
        <w:rFonts w:ascii="Symbol" w:hAnsi="Symbol" w:hint="default"/>
      </w:rPr>
    </w:lvl>
    <w:lvl w:ilvl="6" w:tplc="060096C8" w:tentative="1">
      <w:start w:val="1"/>
      <w:numFmt w:val="bullet"/>
      <w:lvlText w:val=""/>
      <w:lvlJc w:val="left"/>
      <w:pPr>
        <w:tabs>
          <w:tab w:val="num" w:pos="5040"/>
        </w:tabs>
        <w:ind w:left="5040" w:hanging="360"/>
      </w:pPr>
      <w:rPr>
        <w:rFonts w:ascii="Symbol" w:hAnsi="Symbol" w:hint="default"/>
      </w:rPr>
    </w:lvl>
    <w:lvl w:ilvl="7" w:tplc="036C9006" w:tentative="1">
      <w:start w:val="1"/>
      <w:numFmt w:val="bullet"/>
      <w:lvlText w:val=""/>
      <w:lvlJc w:val="left"/>
      <w:pPr>
        <w:tabs>
          <w:tab w:val="num" w:pos="5760"/>
        </w:tabs>
        <w:ind w:left="5760" w:hanging="360"/>
      </w:pPr>
      <w:rPr>
        <w:rFonts w:ascii="Symbol" w:hAnsi="Symbol" w:hint="default"/>
      </w:rPr>
    </w:lvl>
    <w:lvl w:ilvl="8" w:tplc="BC5A3C6E"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2DB814B9"/>
    <w:multiLevelType w:val="hybridMultilevel"/>
    <w:tmpl w:val="B5C4C138"/>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2E1F1868"/>
    <w:multiLevelType w:val="multilevel"/>
    <w:tmpl w:val="DFCACDF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31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294"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0"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2EE66932"/>
    <w:multiLevelType w:val="multilevel"/>
    <w:tmpl w:val="07DC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0E45F21"/>
    <w:multiLevelType w:val="multilevel"/>
    <w:tmpl w:val="96FA9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1610D58"/>
    <w:multiLevelType w:val="hybridMultilevel"/>
    <w:tmpl w:val="14C41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23E4175"/>
    <w:multiLevelType w:val="multilevel"/>
    <w:tmpl w:val="C89C8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268744A"/>
    <w:multiLevelType w:val="hybridMultilevel"/>
    <w:tmpl w:val="6A8E665E"/>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3371297F"/>
    <w:multiLevelType w:val="hybridMultilevel"/>
    <w:tmpl w:val="6F42C4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337B209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4585C8D"/>
    <w:multiLevelType w:val="multilevel"/>
    <w:tmpl w:val="90FED6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5194901"/>
    <w:multiLevelType w:val="hybridMultilevel"/>
    <w:tmpl w:val="C89EE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5DC7166"/>
    <w:multiLevelType w:val="multilevel"/>
    <w:tmpl w:val="6AC68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7A744A8"/>
    <w:multiLevelType w:val="hybridMultilevel"/>
    <w:tmpl w:val="F0D47A9A"/>
    <w:lvl w:ilvl="0" w:tplc="C108EC3C">
      <w:start w:val="4"/>
      <w:numFmt w:val="bullet"/>
      <w:lvlText w:val="-"/>
      <w:lvlJc w:val="left"/>
      <w:rPr>
        <w:rFonts w:ascii="Times New Roman" w:eastAsia="Malgun Gothic" w:hAnsi="Times New Roman" w:cs="Times New Roman" w:hint="default"/>
      </w:rPr>
    </w:lvl>
    <w:lvl w:ilvl="1" w:tplc="04060003">
      <w:numFmt w:val="decimal"/>
      <w:lvlText w:val=""/>
      <w:lvlJc w:val="left"/>
    </w:lvl>
    <w:lvl w:ilvl="2" w:tplc="04060005">
      <w:numFmt w:val="decimal"/>
      <w:lvlText w:val=""/>
      <w:lvlJc w:val="left"/>
    </w:lvl>
    <w:lvl w:ilvl="3" w:tplc="04060001">
      <w:numFmt w:val="decimal"/>
      <w:lvlText w:val=""/>
      <w:lvlJc w:val="left"/>
    </w:lvl>
    <w:lvl w:ilvl="4" w:tplc="04060003">
      <w:numFmt w:val="decimal"/>
      <w:lvlText w:val=""/>
      <w:lvlJc w:val="left"/>
    </w:lvl>
    <w:lvl w:ilvl="5" w:tplc="04060005">
      <w:numFmt w:val="decimal"/>
      <w:lvlText w:val="딀ĭĲ㈀Ĵ딀Ķ䴀Ĺ㄀ļ紀ľᨀńᘀŊ鴀Œ縀ŗ餀ŝ︀Ş᐀Ţ뜀Ť଀"/>
      <w:lvlJc w:val="left"/>
    </w:lvl>
    <w:lvl w:ilvl="6" w:tplc="04060001">
      <w:numFmt w:val="none"/>
      <w:lvlText w:val=""/>
      <w:lvlJc w:val="left"/>
      <w:pPr>
        <w:tabs>
          <w:tab w:val="num" w:pos="0"/>
        </w:tabs>
      </w:pPr>
    </w:lvl>
    <w:lvl w:ilvl="7" w:tplc="04060003">
      <w:numFmt w:val="none"/>
      <w:lvlText w:val=""/>
      <w:lvlJc w:val="left"/>
      <w:pPr>
        <w:tabs>
          <w:tab w:val="num" w:pos="0"/>
        </w:tabs>
      </w:pPr>
    </w:lvl>
    <w:lvl w:ilvl="8" w:tplc="04060005">
      <w:numFmt w:val="none"/>
      <w:lvlText w:val=""/>
      <w:lvlJc w:val="left"/>
      <w:pPr>
        <w:tabs>
          <w:tab w:val="num" w:pos="0"/>
        </w:tabs>
      </w:pPr>
    </w:lvl>
  </w:abstractNum>
  <w:abstractNum w:abstractNumId="6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8F70D8D"/>
    <w:multiLevelType w:val="hybridMultilevel"/>
    <w:tmpl w:val="C5DAD348"/>
    <w:lvl w:ilvl="0" w:tplc="7B7A8690">
      <w:start w:val="55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9024C88"/>
    <w:multiLevelType w:val="multilevel"/>
    <w:tmpl w:val="9848A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BA869FE"/>
    <w:multiLevelType w:val="multilevel"/>
    <w:tmpl w:val="08003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3C0E2251"/>
    <w:multiLevelType w:val="multilevel"/>
    <w:tmpl w:val="4FE210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CDA4337"/>
    <w:multiLevelType w:val="multilevel"/>
    <w:tmpl w:val="BEA2F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3EF04B07"/>
    <w:multiLevelType w:val="multilevel"/>
    <w:tmpl w:val="3C305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F4F0421"/>
    <w:multiLevelType w:val="multilevel"/>
    <w:tmpl w:val="389AC1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3FD938F2"/>
    <w:multiLevelType w:val="hybridMultilevel"/>
    <w:tmpl w:val="CFD83D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413D7417"/>
    <w:multiLevelType w:val="multilevel"/>
    <w:tmpl w:val="D138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41BA3CCE"/>
    <w:multiLevelType w:val="multilevel"/>
    <w:tmpl w:val="EE76BC4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3" w15:restartNumberingAfterBreak="0">
    <w:nsid w:val="433A3EDE"/>
    <w:multiLevelType w:val="multilevel"/>
    <w:tmpl w:val="1C7E8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43F670D2"/>
    <w:multiLevelType w:val="multilevel"/>
    <w:tmpl w:val="EA9AD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44535C40"/>
    <w:multiLevelType w:val="multilevel"/>
    <w:tmpl w:val="86945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445B202B"/>
    <w:multiLevelType w:val="multilevel"/>
    <w:tmpl w:val="9334D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44EF4BBB"/>
    <w:multiLevelType w:val="multilevel"/>
    <w:tmpl w:val="19563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460D226A"/>
    <w:multiLevelType w:val="hybridMultilevel"/>
    <w:tmpl w:val="D7321F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74B502E"/>
    <w:multiLevelType w:val="multilevel"/>
    <w:tmpl w:val="946C5C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779314B"/>
    <w:multiLevelType w:val="hybridMultilevel"/>
    <w:tmpl w:val="9DF07EAA"/>
    <w:lvl w:ilvl="0" w:tplc="20000001">
      <w:start w:val="1"/>
      <w:numFmt w:val="bullet"/>
      <w:lvlText w:val=""/>
      <w:lvlJc w:val="left"/>
      <w:pPr>
        <w:ind w:left="1182" w:hanging="360"/>
      </w:pPr>
      <w:rPr>
        <w:rFonts w:ascii="Symbol" w:hAnsi="Symbol" w:hint="default"/>
      </w:rPr>
    </w:lvl>
    <w:lvl w:ilvl="1" w:tplc="20000003" w:tentative="1">
      <w:start w:val="1"/>
      <w:numFmt w:val="bullet"/>
      <w:lvlText w:val="o"/>
      <w:lvlJc w:val="left"/>
      <w:pPr>
        <w:ind w:left="1902" w:hanging="360"/>
      </w:pPr>
      <w:rPr>
        <w:rFonts w:ascii="Courier New" w:hAnsi="Courier New" w:cs="Courier New" w:hint="default"/>
      </w:rPr>
    </w:lvl>
    <w:lvl w:ilvl="2" w:tplc="20000005" w:tentative="1">
      <w:start w:val="1"/>
      <w:numFmt w:val="bullet"/>
      <w:lvlText w:val=""/>
      <w:lvlJc w:val="left"/>
      <w:pPr>
        <w:ind w:left="2622" w:hanging="360"/>
      </w:pPr>
      <w:rPr>
        <w:rFonts w:ascii="Wingdings" w:hAnsi="Wingdings" w:hint="default"/>
      </w:rPr>
    </w:lvl>
    <w:lvl w:ilvl="3" w:tplc="20000001" w:tentative="1">
      <w:start w:val="1"/>
      <w:numFmt w:val="bullet"/>
      <w:lvlText w:val=""/>
      <w:lvlJc w:val="left"/>
      <w:pPr>
        <w:ind w:left="3342" w:hanging="360"/>
      </w:pPr>
      <w:rPr>
        <w:rFonts w:ascii="Symbol" w:hAnsi="Symbol" w:hint="default"/>
      </w:rPr>
    </w:lvl>
    <w:lvl w:ilvl="4" w:tplc="20000003" w:tentative="1">
      <w:start w:val="1"/>
      <w:numFmt w:val="bullet"/>
      <w:lvlText w:val="o"/>
      <w:lvlJc w:val="left"/>
      <w:pPr>
        <w:ind w:left="4062" w:hanging="360"/>
      </w:pPr>
      <w:rPr>
        <w:rFonts w:ascii="Courier New" w:hAnsi="Courier New" w:cs="Courier New" w:hint="default"/>
      </w:rPr>
    </w:lvl>
    <w:lvl w:ilvl="5" w:tplc="20000005" w:tentative="1">
      <w:start w:val="1"/>
      <w:numFmt w:val="bullet"/>
      <w:lvlText w:val=""/>
      <w:lvlJc w:val="left"/>
      <w:pPr>
        <w:ind w:left="4782" w:hanging="360"/>
      </w:pPr>
      <w:rPr>
        <w:rFonts w:ascii="Wingdings" w:hAnsi="Wingdings" w:hint="default"/>
      </w:rPr>
    </w:lvl>
    <w:lvl w:ilvl="6" w:tplc="20000001" w:tentative="1">
      <w:start w:val="1"/>
      <w:numFmt w:val="bullet"/>
      <w:lvlText w:val=""/>
      <w:lvlJc w:val="left"/>
      <w:pPr>
        <w:ind w:left="5502" w:hanging="360"/>
      </w:pPr>
      <w:rPr>
        <w:rFonts w:ascii="Symbol" w:hAnsi="Symbol" w:hint="default"/>
      </w:rPr>
    </w:lvl>
    <w:lvl w:ilvl="7" w:tplc="20000003" w:tentative="1">
      <w:start w:val="1"/>
      <w:numFmt w:val="bullet"/>
      <w:lvlText w:val="o"/>
      <w:lvlJc w:val="left"/>
      <w:pPr>
        <w:ind w:left="6222" w:hanging="360"/>
      </w:pPr>
      <w:rPr>
        <w:rFonts w:ascii="Courier New" w:hAnsi="Courier New" w:cs="Courier New" w:hint="default"/>
      </w:rPr>
    </w:lvl>
    <w:lvl w:ilvl="8" w:tplc="20000005" w:tentative="1">
      <w:start w:val="1"/>
      <w:numFmt w:val="bullet"/>
      <w:lvlText w:val=""/>
      <w:lvlJc w:val="left"/>
      <w:pPr>
        <w:ind w:left="6942" w:hanging="360"/>
      </w:pPr>
      <w:rPr>
        <w:rFonts w:ascii="Wingdings" w:hAnsi="Wingdings" w:hint="default"/>
      </w:rPr>
    </w:lvl>
  </w:abstractNum>
  <w:abstractNum w:abstractNumId="81" w15:restartNumberingAfterBreak="0">
    <w:nsid w:val="480D4E00"/>
    <w:multiLevelType w:val="multilevel"/>
    <w:tmpl w:val="5818E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48EE0943"/>
    <w:multiLevelType w:val="multilevel"/>
    <w:tmpl w:val="EAC07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9563B03"/>
    <w:multiLevelType w:val="hybridMultilevel"/>
    <w:tmpl w:val="B6C67004"/>
    <w:lvl w:ilvl="0" w:tplc="389ABA68">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84" w15:restartNumberingAfterBreak="0">
    <w:nsid w:val="4A001522"/>
    <w:multiLevelType w:val="hybridMultilevel"/>
    <w:tmpl w:val="A1362E52"/>
    <w:lvl w:ilvl="0" w:tplc="140440D6">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A310120"/>
    <w:multiLevelType w:val="hybridMultilevel"/>
    <w:tmpl w:val="E32CC266"/>
    <w:lvl w:ilvl="0" w:tplc="3E24588A">
      <w:start w:val="1"/>
      <w:numFmt w:val="decimal"/>
      <w:pStyle w:val="Proposal"/>
      <w:lvlText w:val="Proposal %1:"/>
      <w:lvlJc w:val="left"/>
      <w:pPr>
        <w:ind w:left="502" w:hanging="360"/>
      </w:pPr>
      <w:rPr>
        <w:rFonts w:ascii="Times New Roman" w:hAnsi="Times New Roman" w:cs="Times New Roman" w:hint="default"/>
        <w:sz w:val="20"/>
        <w:szCs w:val="20"/>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6" w15:restartNumberingAfterBreak="0">
    <w:nsid w:val="4A5B50C6"/>
    <w:multiLevelType w:val="hybridMultilevel"/>
    <w:tmpl w:val="2A0A4DCE"/>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87" w15:restartNumberingAfterBreak="0">
    <w:nsid w:val="4D877D79"/>
    <w:multiLevelType w:val="hybridMultilevel"/>
    <w:tmpl w:val="D2406234"/>
    <w:lvl w:ilvl="0" w:tplc="04090001">
      <w:start w:val="1"/>
      <w:numFmt w:val="bullet"/>
      <w:lvlText w:val=""/>
      <w:lvlJc w:val="left"/>
      <w:pPr>
        <w:ind w:left="1077" w:hanging="360"/>
      </w:pPr>
      <w:rPr>
        <w:rFonts w:ascii="Symbol" w:hAnsi="Symbol"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88" w15:restartNumberingAfterBreak="0">
    <w:nsid w:val="4D8F3C87"/>
    <w:multiLevelType w:val="multilevel"/>
    <w:tmpl w:val="8D848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4F1C2076"/>
    <w:multiLevelType w:val="multilevel"/>
    <w:tmpl w:val="1EA2A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0807A91"/>
    <w:multiLevelType w:val="multilevel"/>
    <w:tmpl w:val="A5AC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1161129"/>
    <w:multiLevelType w:val="multilevel"/>
    <w:tmpl w:val="FE12AB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518943D0"/>
    <w:multiLevelType w:val="hybridMultilevel"/>
    <w:tmpl w:val="AC388F24"/>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93" w15:restartNumberingAfterBreak="0">
    <w:nsid w:val="51CB2952"/>
    <w:multiLevelType w:val="hybridMultilevel"/>
    <w:tmpl w:val="9A649F42"/>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94" w15:restartNumberingAfterBreak="0">
    <w:nsid w:val="52512D4A"/>
    <w:multiLevelType w:val="multilevel"/>
    <w:tmpl w:val="5198B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53227ADD"/>
    <w:multiLevelType w:val="multilevel"/>
    <w:tmpl w:val="712E9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546C77D9"/>
    <w:multiLevelType w:val="multilevel"/>
    <w:tmpl w:val="07C69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5893E63"/>
    <w:multiLevelType w:val="multilevel"/>
    <w:tmpl w:val="28FEF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56955AC6"/>
    <w:multiLevelType w:val="multilevel"/>
    <w:tmpl w:val="4FE6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579A0090"/>
    <w:multiLevelType w:val="multilevel"/>
    <w:tmpl w:val="78F6D9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58644584"/>
    <w:multiLevelType w:val="multilevel"/>
    <w:tmpl w:val="591AD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58935A8B"/>
    <w:multiLevelType w:val="hybridMultilevel"/>
    <w:tmpl w:val="5C3A8E62"/>
    <w:lvl w:ilvl="0" w:tplc="06B6B182">
      <w:start w:val="2"/>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B0C131E"/>
    <w:multiLevelType w:val="multilevel"/>
    <w:tmpl w:val="55C49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5BC55D6E"/>
    <w:multiLevelType w:val="multilevel"/>
    <w:tmpl w:val="3E28D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15:restartNumberingAfterBreak="0">
    <w:nsid w:val="5CC1154C"/>
    <w:multiLevelType w:val="hybridMultilevel"/>
    <w:tmpl w:val="C4C0A900"/>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6" w15:restartNumberingAfterBreak="0">
    <w:nsid w:val="5FB01CAE"/>
    <w:multiLevelType w:val="multilevel"/>
    <w:tmpl w:val="CF3CA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603812E4"/>
    <w:multiLevelType w:val="hybridMultilevel"/>
    <w:tmpl w:val="E4DA32E6"/>
    <w:lvl w:ilvl="0" w:tplc="0484B74A">
      <w:start w:val="1"/>
      <w:numFmt w:val="bullet"/>
      <w:lvlText w:val=""/>
      <w:lvlJc w:val="left"/>
      <w:pPr>
        <w:tabs>
          <w:tab w:val="num" w:pos="720"/>
        </w:tabs>
        <w:ind w:left="720" w:hanging="360"/>
      </w:pPr>
      <w:rPr>
        <w:rFonts w:ascii="Symbol" w:hAnsi="Symbol" w:hint="default"/>
      </w:rPr>
    </w:lvl>
    <w:lvl w:ilvl="1" w:tplc="32A2F8E6" w:tentative="1">
      <w:start w:val="1"/>
      <w:numFmt w:val="bullet"/>
      <w:lvlText w:val=""/>
      <w:lvlJc w:val="left"/>
      <w:pPr>
        <w:tabs>
          <w:tab w:val="num" w:pos="1440"/>
        </w:tabs>
        <w:ind w:left="1440" w:hanging="360"/>
      </w:pPr>
      <w:rPr>
        <w:rFonts w:ascii="Symbol" w:hAnsi="Symbol" w:hint="default"/>
      </w:rPr>
    </w:lvl>
    <w:lvl w:ilvl="2" w:tplc="15FE27E0" w:tentative="1">
      <w:start w:val="1"/>
      <w:numFmt w:val="bullet"/>
      <w:lvlText w:val=""/>
      <w:lvlJc w:val="left"/>
      <w:pPr>
        <w:tabs>
          <w:tab w:val="num" w:pos="2160"/>
        </w:tabs>
        <w:ind w:left="2160" w:hanging="360"/>
      </w:pPr>
      <w:rPr>
        <w:rFonts w:ascii="Symbol" w:hAnsi="Symbol" w:hint="default"/>
      </w:rPr>
    </w:lvl>
    <w:lvl w:ilvl="3" w:tplc="0F72EFE6" w:tentative="1">
      <w:start w:val="1"/>
      <w:numFmt w:val="bullet"/>
      <w:lvlText w:val=""/>
      <w:lvlJc w:val="left"/>
      <w:pPr>
        <w:tabs>
          <w:tab w:val="num" w:pos="2880"/>
        </w:tabs>
        <w:ind w:left="2880" w:hanging="360"/>
      </w:pPr>
      <w:rPr>
        <w:rFonts w:ascii="Symbol" w:hAnsi="Symbol" w:hint="default"/>
      </w:rPr>
    </w:lvl>
    <w:lvl w:ilvl="4" w:tplc="FE2EAF44" w:tentative="1">
      <w:start w:val="1"/>
      <w:numFmt w:val="bullet"/>
      <w:lvlText w:val=""/>
      <w:lvlJc w:val="left"/>
      <w:pPr>
        <w:tabs>
          <w:tab w:val="num" w:pos="3600"/>
        </w:tabs>
        <w:ind w:left="3600" w:hanging="360"/>
      </w:pPr>
      <w:rPr>
        <w:rFonts w:ascii="Symbol" w:hAnsi="Symbol" w:hint="default"/>
      </w:rPr>
    </w:lvl>
    <w:lvl w:ilvl="5" w:tplc="52808894" w:tentative="1">
      <w:start w:val="1"/>
      <w:numFmt w:val="bullet"/>
      <w:lvlText w:val=""/>
      <w:lvlJc w:val="left"/>
      <w:pPr>
        <w:tabs>
          <w:tab w:val="num" w:pos="4320"/>
        </w:tabs>
        <w:ind w:left="4320" w:hanging="360"/>
      </w:pPr>
      <w:rPr>
        <w:rFonts w:ascii="Symbol" w:hAnsi="Symbol" w:hint="default"/>
      </w:rPr>
    </w:lvl>
    <w:lvl w:ilvl="6" w:tplc="0E24FABC" w:tentative="1">
      <w:start w:val="1"/>
      <w:numFmt w:val="bullet"/>
      <w:lvlText w:val=""/>
      <w:lvlJc w:val="left"/>
      <w:pPr>
        <w:tabs>
          <w:tab w:val="num" w:pos="5040"/>
        </w:tabs>
        <w:ind w:left="5040" w:hanging="360"/>
      </w:pPr>
      <w:rPr>
        <w:rFonts w:ascii="Symbol" w:hAnsi="Symbol" w:hint="default"/>
      </w:rPr>
    </w:lvl>
    <w:lvl w:ilvl="7" w:tplc="AE5CA876" w:tentative="1">
      <w:start w:val="1"/>
      <w:numFmt w:val="bullet"/>
      <w:lvlText w:val=""/>
      <w:lvlJc w:val="left"/>
      <w:pPr>
        <w:tabs>
          <w:tab w:val="num" w:pos="5760"/>
        </w:tabs>
        <w:ind w:left="5760" w:hanging="360"/>
      </w:pPr>
      <w:rPr>
        <w:rFonts w:ascii="Symbol" w:hAnsi="Symbol" w:hint="default"/>
      </w:rPr>
    </w:lvl>
    <w:lvl w:ilvl="8" w:tplc="612AF0AA" w:tentative="1">
      <w:start w:val="1"/>
      <w:numFmt w:val="bullet"/>
      <w:lvlText w:val=""/>
      <w:lvlJc w:val="left"/>
      <w:pPr>
        <w:tabs>
          <w:tab w:val="num" w:pos="6480"/>
        </w:tabs>
        <w:ind w:left="6480" w:hanging="360"/>
      </w:pPr>
      <w:rPr>
        <w:rFonts w:ascii="Symbol" w:hAnsi="Symbol" w:hint="default"/>
      </w:rPr>
    </w:lvl>
  </w:abstractNum>
  <w:abstractNum w:abstractNumId="108" w15:restartNumberingAfterBreak="0">
    <w:nsid w:val="60706BB2"/>
    <w:multiLevelType w:val="hybridMultilevel"/>
    <w:tmpl w:val="CD8868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615D054F"/>
    <w:multiLevelType w:val="hybridMultilevel"/>
    <w:tmpl w:val="5044C56C"/>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16C4236"/>
    <w:multiLevelType w:val="hybridMultilevel"/>
    <w:tmpl w:val="47D40702"/>
    <w:lvl w:ilvl="0" w:tplc="023E5EDA">
      <w:start w:val="3"/>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2B6256F"/>
    <w:multiLevelType w:val="multilevel"/>
    <w:tmpl w:val="7E8A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4196644"/>
    <w:multiLevelType w:val="hybridMultilevel"/>
    <w:tmpl w:val="F72C1240"/>
    <w:lvl w:ilvl="0" w:tplc="6EFAF87A">
      <w:numFmt w:val="bullet"/>
      <w:lvlText w:val="-"/>
      <w:lvlJc w:val="left"/>
      <w:pPr>
        <w:ind w:left="1440" w:hanging="360"/>
      </w:pPr>
      <w:rPr>
        <w:rFonts w:ascii="Times New Roman" w:eastAsia="SimSun" w:hAnsi="Times New Roman" w:cs="Times New Roman" w:hint="default"/>
        <w:color w:val="44546A" w:themeColor="text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15:restartNumberingAfterBreak="0">
    <w:nsid w:val="64A54764"/>
    <w:multiLevelType w:val="hybridMultilevel"/>
    <w:tmpl w:val="21E003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4" w15:restartNumberingAfterBreak="0">
    <w:nsid w:val="64DE76C8"/>
    <w:multiLevelType w:val="multilevel"/>
    <w:tmpl w:val="46D84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7240DB7"/>
    <w:multiLevelType w:val="multilevel"/>
    <w:tmpl w:val="67240DB7"/>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16" w15:restartNumberingAfterBreak="0">
    <w:nsid w:val="6B3B7B01"/>
    <w:multiLevelType w:val="multilevel"/>
    <w:tmpl w:val="66FE9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B6D1573"/>
    <w:multiLevelType w:val="hybridMultilevel"/>
    <w:tmpl w:val="CEB2204A"/>
    <w:lvl w:ilvl="0" w:tplc="9D94BAB2">
      <w:start w:val="5"/>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6C734837"/>
    <w:multiLevelType w:val="multilevel"/>
    <w:tmpl w:val="416673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6D2C79F8"/>
    <w:multiLevelType w:val="multilevel"/>
    <w:tmpl w:val="DD1653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6FD76CD9"/>
    <w:multiLevelType w:val="hybridMultilevel"/>
    <w:tmpl w:val="3DB8360E"/>
    <w:lvl w:ilvl="0" w:tplc="20000001">
      <w:start w:val="1"/>
      <w:numFmt w:val="bullet"/>
      <w:lvlText w:val=""/>
      <w:lvlJc w:val="left"/>
      <w:pPr>
        <w:ind w:left="1222" w:hanging="360"/>
      </w:pPr>
      <w:rPr>
        <w:rFonts w:ascii="Symbol" w:hAnsi="Symbol" w:hint="default"/>
      </w:rPr>
    </w:lvl>
    <w:lvl w:ilvl="1" w:tplc="20000003" w:tentative="1">
      <w:start w:val="1"/>
      <w:numFmt w:val="bullet"/>
      <w:lvlText w:val="o"/>
      <w:lvlJc w:val="left"/>
      <w:pPr>
        <w:ind w:left="1942" w:hanging="360"/>
      </w:pPr>
      <w:rPr>
        <w:rFonts w:ascii="Courier New" w:hAnsi="Courier New" w:cs="Courier New" w:hint="default"/>
      </w:rPr>
    </w:lvl>
    <w:lvl w:ilvl="2" w:tplc="20000005" w:tentative="1">
      <w:start w:val="1"/>
      <w:numFmt w:val="bullet"/>
      <w:lvlText w:val=""/>
      <w:lvlJc w:val="left"/>
      <w:pPr>
        <w:ind w:left="2662" w:hanging="360"/>
      </w:pPr>
      <w:rPr>
        <w:rFonts w:ascii="Wingdings" w:hAnsi="Wingdings" w:hint="default"/>
      </w:rPr>
    </w:lvl>
    <w:lvl w:ilvl="3" w:tplc="20000001" w:tentative="1">
      <w:start w:val="1"/>
      <w:numFmt w:val="bullet"/>
      <w:lvlText w:val=""/>
      <w:lvlJc w:val="left"/>
      <w:pPr>
        <w:ind w:left="3382" w:hanging="360"/>
      </w:pPr>
      <w:rPr>
        <w:rFonts w:ascii="Symbol" w:hAnsi="Symbol" w:hint="default"/>
      </w:rPr>
    </w:lvl>
    <w:lvl w:ilvl="4" w:tplc="20000003" w:tentative="1">
      <w:start w:val="1"/>
      <w:numFmt w:val="bullet"/>
      <w:lvlText w:val="o"/>
      <w:lvlJc w:val="left"/>
      <w:pPr>
        <w:ind w:left="4102" w:hanging="360"/>
      </w:pPr>
      <w:rPr>
        <w:rFonts w:ascii="Courier New" w:hAnsi="Courier New" w:cs="Courier New" w:hint="default"/>
      </w:rPr>
    </w:lvl>
    <w:lvl w:ilvl="5" w:tplc="20000005" w:tentative="1">
      <w:start w:val="1"/>
      <w:numFmt w:val="bullet"/>
      <w:lvlText w:val=""/>
      <w:lvlJc w:val="left"/>
      <w:pPr>
        <w:ind w:left="4822" w:hanging="360"/>
      </w:pPr>
      <w:rPr>
        <w:rFonts w:ascii="Wingdings" w:hAnsi="Wingdings" w:hint="default"/>
      </w:rPr>
    </w:lvl>
    <w:lvl w:ilvl="6" w:tplc="20000001" w:tentative="1">
      <w:start w:val="1"/>
      <w:numFmt w:val="bullet"/>
      <w:lvlText w:val=""/>
      <w:lvlJc w:val="left"/>
      <w:pPr>
        <w:ind w:left="5542" w:hanging="360"/>
      </w:pPr>
      <w:rPr>
        <w:rFonts w:ascii="Symbol" w:hAnsi="Symbol" w:hint="default"/>
      </w:rPr>
    </w:lvl>
    <w:lvl w:ilvl="7" w:tplc="20000003" w:tentative="1">
      <w:start w:val="1"/>
      <w:numFmt w:val="bullet"/>
      <w:lvlText w:val="o"/>
      <w:lvlJc w:val="left"/>
      <w:pPr>
        <w:ind w:left="6262" w:hanging="360"/>
      </w:pPr>
      <w:rPr>
        <w:rFonts w:ascii="Courier New" w:hAnsi="Courier New" w:cs="Courier New" w:hint="default"/>
      </w:rPr>
    </w:lvl>
    <w:lvl w:ilvl="8" w:tplc="20000005" w:tentative="1">
      <w:start w:val="1"/>
      <w:numFmt w:val="bullet"/>
      <w:lvlText w:val=""/>
      <w:lvlJc w:val="left"/>
      <w:pPr>
        <w:ind w:left="6982" w:hanging="360"/>
      </w:pPr>
      <w:rPr>
        <w:rFonts w:ascii="Wingdings" w:hAnsi="Wingdings" w:hint="default"/>
      </w:rPr>
    </w:lvl>
  </w:abstractNum>
  <w:abstractNum w:abstractNumId="122" w15:restartNumberingAfterBreak="0">
    <w:nsid w:val="700F33CF"/>
    <w:multiLevelType w:val="multilevel"/>
    <w:tmpl w:val="A100F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723C4547"/>
    <w:multiLevelType w:val="hybridMultilevel"/>
    <w:tmpl w:val="DBF878F2"/>
    <w:lvl w:ilvl="0" w:tplc="4E4E63C6">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2811D46"/>
    <w:multiLevelType w:val="multilevel"/>
    <w:tmpl w:val="558EA2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756F05BB"/>
    <w:multiLevelType w:val="multilevel"/>
    <w:tmpl w:val="FA54067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6" w15:restartNumberingAfterBreak="0">
    <w:nsid w:val="7651510A"/>
    <w:multiLevelType w:val="multilevel"/>
    <w:tmpl w:val="7E0AA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771B112E"/>
    <w:multiLevelType w:val="hybridMultilevel"/>
    <w:tmpl w:val="AE2AF856"/>
    <w:lvl w:ilvl="0" w:tplc="928A5D56">
      <w:numFmt w:val="bullet"/>
      <w:lvlText w:val="-"/>
      <w:lvlJc w:val="left"/>
      <w:pPr>
        <w:ind w:left="720" w:hanging="360"/>
      </w:pPr>
      <w:rPr>
        <w:rFonts w:ascii="Calibri" w:eastAsia="Calibri" w:hAnsi="Calibri" w:cs="Times New Roman" w:hint="default"/>
        <w:lang w:val="en-US"/>
      </w:rPr>
    </w:lvl>
    <w:lvl w:ilvl="1" w:tplc="0409000F">
      <w:start w:val="1"/>
      <w:numFmt w:val="decimal"/>
      <w:lvlText w:val="%2."/>
      <w:lvlJc w:val="left"/>
      <w:pPr>
        <w:ind w:left="1440" w:hanging="360"/>
      </w:pPr>
      <w:rPr>
        <w:rFonts w:hint="default"/>
      </w:rPr>
    </w:lvl>
    <w:lvl w:ilvl="2" w:tplc="0409000F">
      <w:start w:val="1"/>
      <w:numFmt w:val="decimal"/>
      <w:lvlText w:val="%3."/>
      <w:lvlJc w:val="left"/>
      <w:pPr>
        <w:ind w:left="2160" w:hanging="360"/>
      </w:pPr>
      <w:rPr>
        <w:rFont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8" w15:restartNumberingAfterBreak="0">
    <w:nsid w:val="774E2D8D"/>
    <w:multiLevelType w:val="multilevel"/>
    <w:tmpl w:val="8D906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77833534"/>
    <w:multiLevelType w:val="hybridMultilevel"/>
    <w:tmpl w:val="75CA2516"/>
    <w:lvl w:ilvl="0" w:tplc="16F649F8">
      <w:start w:val="1"/>
      <w:numFmt w:val="bullet"/>
      <w:lvlText w:val=""/>
      <w:lvlJc w:val="left"/>
      <w:pPr>
        <w:tabs>
          <w:tab w:val="num" w:pos="720"/>
        </w:tabs>
        <w:ind w:left="720" w:hanging="360"/>
      </w:pPr>
      <w:rPr>
        <w:rFonts w:ascii="Symbol" w:hAnsi="Symbol" w:hint="default"/>
        <w:sz w:val="20"/>
      </w:rPr>
    </w:lvl>
    <w:lvl w:ilvl="1" w:tplc="430A27DE">
      <w:start w:val="1"/>
      <w:numFmt w:val="bullet"/>
      <w:lvlText w:val=""/>
      <w:lvlJc w:val="left"/>
      <w:pPr>
        <w:tabs>
          <w:tab w:val="num" w:pos="1440"/>
        </w:tabs>
        <w:ind w:left="1440" w:hanging="360"/>
      </w:pPr>
      <w:rPr>
        <w:rFonts w:ascii="Symbol" w:hAnsi="Symbol" w:hint="default"/>
        <w:sz w:val="20"/>
      </w:rPr>
    </w:lvl>
    <w:lvl w:ilvl="2" w:tplc="B6C2A7AA" w:tentative="1">
      <w:start w:val="1"/>
      <w:numFmt w:val="bullet"/>
      <w:lvlText w:val=""/>
      <w:lvlJc w:val="left"/>
      <w:pPr>
        <w:tabs>
          <w:tab w:val="num" w:pos="2160"/>
        </w:tabs>
        <w:ind w:left="2160" w:hanging="360"/>
      </w:pPr>
      <w:rPr>
        <w:rFonts w:ascii="Symbol" w:hAnsi="Symbol" w:hint="default"/>
        <w:sz w:val="20"/>
      </w:rPr>
    </w:lvl>
    <w:lvl w:ilvl="3" w:tplc="BD32A10E" w:tentative="1">
      <w:start w:val="1"/>
      <w:numFmt w:val="bullet"/>
      <w:lvlText w:val=""/>
      <w:lvlJc w:val="left"/>
      <w:pPr>
        <w:tabs>
          <w:tab w:val="num" w:pos="2880"/>
        </w:tabs>
        <w:ind w:left="2880" w:hanging="360"/>
      </w:pPr>
      <w:rPr>
        <w:rFonts w:ascii="Symbol" w:hAnsi="Symbol" w:hint="default"/>
        <w:sz w:val="20"/>
      </w:rPr>
    </w:lvl>
    <w:lvl w:ilvl="4" w:tplc="3482ACB4" w:tentative="1">
      <w:start w:val="1"/>
      <w:numFmt w:val="bullet"/>
      <w:lvlText w:val=""/>
      <w:lvlJc w:val="left"/>
      <w:pPr>
        <w:tabs>
          <w:tab w:val="num" w:pos="3600"/>
        </w:tabs>
        <w:ind w:left="3600" w:hanging="360"/>
      </w:pPr>
      <w:rPr>
        <w:rFonts w:ascii="Symbol" w:hAnsi="Symbol" w:hint="default"/>
        <w:sz w:val="20"/>
      </w:rPr>
    </w:lvl>
    <w:lvl w:ilvl="5" w:tplc="F7EE3254" w:tentative="1">
      <w:start w:val="1"/>
      <w:numFmt w:val="bullet"/>
      <w:lvlText w:val=""/>
      <w:lvlJc w:val="left"/>
      <w:pPr>
        <w:tabs>
          <w:tab w:val="num" w:pos="4320"/>
        </w:tabs>
        <w:ind w:left="4320" w:hanging="360"/>
      </w:pPr>
      <w:rPr>
        <w:rFonts w:ascii="Symbol" w:hAnsi="Symbol" w:hint="default"/>
        <w:sz w:val="20"/>
      </w:rPr>
    </w:lvl>
    <w:lvl w:ilvl="6" w:tplc="401E2ADC" w:tentative="1">
      <w:start w:val="1"/>
      <w:numFmt w:val="bullet"/>
      <w:lvlText w:val=""/>
      <w:lvlJc w:val="left"/>
      <w:pPr>
        <w:tabs>
          <w:tab w:val="num" w:pos="5040"/>
        </w:tabs>
        <w:ind w:left="5040" w:hanging="360"/>
      </w:pPr>
      <w:rPr>
        <w:rFonts w:ascii="Symbol" w:hAnsi="Symbol" w:hint="default"/>
        <w:sz w:val="20"/>
      </w:rPr>
    </w:lvl>
    <w:lvl w:ilvl="7" w:tplc="A894DB66" w:tentative="1">
      <w:start w:val="1"/>
      <w:numFmt w:val="bullet"/>
      <w:lvlText w:val=""/>
      <w:lvlJc w:val="left"/>
      <w:pPr>
        <w:tabs>
          <w:tab w:val="num" w:pos="5760"/>
        </w:tabs>
        <w:ind w:left="5760" w:hanging="360"/>
      </w:pPr>
      <w:rPr>
        <w:rFonts w:ascii="Symbol" w:hAnsi="Symbol" w:hint="default"/>
        <w:sz w:val="20"/>
      </w:rPr>
    </w:lvl>
    <w:lvl w:ilvl="8" w:tplc="51300800"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77C46FAD"/>
    <w:multiLevelType w:val="hybridMultilevel"/>
    <w:tmpl w:val="0726B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8733581"/>
    <w:multiLevelType w:val="multilevel"/>
    <w:tmpl w:val="CA8C02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78E25959"/>
    <w:multiLevelType w:val="multilevel"/>
    <w:tmpl w:val="DC6E2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78FC3F3C"/>
    <w:multiLevelType w:val="multilevel"/>
    <w:tmpl w:val="3F224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79853E16"/>
    <w:multiLevelType w:val="multilevel"/>
    <w:tmpl w:val="3C644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7A611E1E"/>
    <w:multiLevelType w:val="multilevel"/>
    <w:tmpl w:val="1D209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7AB72360"/>
    <w:multiLevelType w:val="multilevel"/>
    <w:tmpl w:val="C98C9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7B5A054A"/>
    <w:multiLevelType w:val="hybridMultilevel"/>
    <w:tmpl w:val="562C6B90"/>
    <w:lvl w:ilvl="0" w:tplc="C108EC3C">
      <w:start w:val="4"/>
      <w:numFmt w:val="bullet"/>
      <w:lvlText w:val="-"/>
      <w:lvlJc w:val="left"/>
      <w:pPr>
        <w:ind w:left="720" w:hanging="360"/>
      </w:pPr>
      <w:rPr>
        <w:rFonts w:ascii="Times New Roman" w:eastAsia="Malgun Gothic" w:hAnsi="Times New Roman"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8" w15:restartNumberingAfterBreak="0">
    <w:nsid w:val="7BB06C49"/>
    <w:multiLevelType w:val="multilevel"/>
    <w:tmpl w:val="E9BC6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7D3072DE"/>
    <w:multiLevelType w:val="hybridMultilevel"/>
    <w:tmpl w:val="1AE2D2FC"/>
    <w:lvl w:ilvl="0" w:tplc="9DCAF7CA">
      <w:start w:val="1"/>
      <w:numFmt w:val="bullet"/>
      <w:lvlText w:val=""/>
      <w:lvlJc w:val="left"/>
      <w:pPr>
        <w:tabs>
          <w:tab w:val="num" w:pos="720"/>
        </w:tabs>
        <w:ind w:left="720" w:hanging="360"/>
      </w:pPr>
      <w:rPr>
        <w:rFonts w:ascii="Symbol" w:hAnsi="Symbol" w:hint="default"/>
      </w:rPr>
    </w:lvl>
    <w:lvl w:ilvl="1" w:tplc="8BA26DAE">
      <w:numFmt w:val="bullet"/>
      <w:lvlText w:val="o"/>
      <w:lvlJc w:val="left"/>
      <w:pPr>
        <w:tabs>
          <w:tab w:val="num" w:pos="1440"/>
        </w:tabs>
        <w:ind w:left="1440" w:hanging="360"/>
      </w:pPr>
      <w:rPr>
        <w:rFonts w:ascii="Courier New" w:hAnsi="Courier New" w:hint="default"/>
      </w:rPr>
    </w:lvl>
    <w:lvl w:ilvl="2" w:tplc="203026C6" w:tentative="1">
      <w:start w:val="1"/>
      <w:numFmt w:val="bullet"/>
      <w:lvlText w:val=""/>
      <w:lvlJc w:val="left"/>
      <w:pPr>
        <w:tabs>
          <w:tab w:val="num" w:pos="2160"/>
        </w:tabs>
        <w:ind w:left="2160" w:hanging="360"/>
      </w:pPr>
      <w:rPr>
        <w:rFonts w:ascii="Symbol" w:hAnsi="Symbol" w:hint="default"/>
      </w:rPr>
    </w:lvl>
    <w:lvl w:ilvl="3" w:tplc="BBB6BD5C" w:tentative="1">
      <w:start w:val="1"/>
      <w:numFmt w:val="bullet"/>
      <w:lvlText w:val=""/>
      <w:lvlJc w:val="left"/>
      <w:pPr>
        <w:tabs>
          <w:tab w:val="num" w:pos="2880"/>
        </w:tabs>
        <w:ind w:left="2880" w:hanging="360"/>
      </w:pPr>
      <w:rPr>
        <w:rFonts w:ascii="Symbol" w:hAnsi="Symbol" w:hint="default"/>
      </w:rPr>
    </w:lvl>
    <w:lvl w:ilvl="4" w:tplc="0A7ED070" w:tentative="1">
      <w:start w:val="1"/>
      <w:numFmt w:val="bullet"/>
      <w:lvlText w:val=""/>
      <w:lvlJc w:val="left"/>
      <w:pPr>
        <w:tabs>
          <w:tab w:val="num" w:pos="3600"/>
        </w:tabs>
        <w:ind w:left="3600" w:hanging="360"/>
      </w:pPr>
      <w:rPr>
        <w:rFonts w:ascii="Symbol" w:hAnsi="Symbol" w:hint="default"/>
      </w:rPr>
    </w:lvl>
    <w:lvl w:ilvl="5" w:tplc="14F68AE0" w:tentative="1">
      <w:start w:val="1"/>
      <w:numFmt w:val="bullet"/>
      <w:lvlText w:val=""/>
      <w:lvlJc w:val="left"/>
      <w:pPr>
        <w:tabs>
          <w:tab w:val="num" w:pos="4320"/>
        </w:tabs>
        <w:ind w:left="4320" w:hanging="360"/>
      </w:pPr>
      <w:rPr>
        <w:rFonts w:ascii="Symbol" w:hAnsi="Symbol" w:hint="default"/>
      </w:rPr>
    </w:lvl>
    <w:lvl w:ilvl="6" w:tplc="169265A2" w:tentative="1">
      <w:start w:val="1"/>
      <w:numFmt w:val="bullet"/>
      <w:lvlText w:val=""/>
      <w:lvlJc w:val="left"/>
      <w:pPr>
        <w:tabs>
          <w:tab w:val="num" w:pos="5040"/>
        </w:tabs>
        <w:ind w:left="5040" w:hanging="360"/>
      </w:pPr>
      <w:rPr>
        <w:rFonts w:ascii="Symbol" w:hAnsi="Symbol" w:hint="default"/>
      </w:rPr>
    </w:lvl>
    <w:lvl w:ilvl="7" w:tplc="52F04BC2" w:tentative="1">
      <w:start w:val="1"/>
      <w:numFmt w:val="bullet"/>
      <w:lvlText w:val=""/>
      <w:lvlJc w:val="left"/>
      <w:pPr>
        <w:tabs>
          <w:tab w:val="num" w:pos="5760"/>
        </w:tabs>
        <w:ind w:left="5760" w:hanging="360"/>
      </w:pPr>
      <w:rPr>
        <w:rFonts w:ascii="Symbol" w:hAnsi="Symbol" w:hint="default"/>
      </w:rPr>
    </w:lvl>
    <w:lvl w:ilvl="8" w:tplc="BF42C208" w:tentative="1">
      <w:start w:val="1"/>
      <w:numFmt w:val="bullet"/>
      <w:lvlText w:val=""/>
      <w:lvlJc w:val="left"/>
      <w:pPr>
        <w:tabs>
          <w:tab w:val="num" w:pos="6480"/>
        </w:tabs>
        <w:ind w:left="6480" w:hanging="360"/>
      </w:pPr>
      <w:rPr>
        <w:rFonts w:ascii="Symbol" w:hAnsi="Symbol" w:hint="default"/>
      </w:rPr>
    </w:lvl>
  </w:abstractNum>
  <w:abstractNum w:abstractNumId="140" w15:restartNumberingAfterBreak="0">
    <w:nsid w:val="7E6D67A0"/>
    <w:multiLevelType w:val="multilevel"/>
    <w:tmpl w:val="4148C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7EF6654C"/>
    <w:multiLevelType w:val="hybridMultilevel"/>
    <w:tmpl w:val="BA12C69A"/>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7F1939DE"/>
    <w:multiLevelType w:val="multilevel"/>
    <w:tmpl w:val="6978B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7FB06006"/>
    <w:multiLevelType w:val="multilevel"/>
    <w:tmpl w:val="17627A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1913310">
    <w:abstractNumId w:val="49"/>
  </w:num>
  <w:num w:numId="2" w16cid:durableId="1331981388">
    <w:abstractNumId w:val="62"/>
  </w:num>
  <w:num w:numId="3" w16cid:durableId="1093741073">
    <w:abstractNumId w:val="7"/>
  </w:num>
  <w:num w:numId="4" w16cid:durableId="1693721205">
    <w:abstractNumId w:val="32"/>
  </w:num>
  <w:num w:numId="5" w16cid:durableId="1913079365">
    <w:abstractNumId w:val="29"/>
  </w:num>
  <w:num w:numId="6" w16cid:durableId="1795635362">
    <w:abstractNumId w:val="44"/>
  </w:num>
  <w:num w:numId="7" w16cid:durableId="115873236">
    <w:abstractNumId w:val="105"/>
  </w:num>
  <w:num w:numId="8" w16cid:durableId="1913932034">
    <w:abstractNumId w:val="120"/>
  </w:num>
  <w:num w:numId="9" w16cid:durableId="1267536521">
    <w:abstractNumId w:val="59"/>
  </w:num>
  <w:num w:numId="10" w16cid:durableId="1776170805">
    <w:abstractNumId w:val="12"/>
  </w:num>
  <w:num w:numId="11" w16cid:durableId="1548446717">
    <w:abstractNumId w:val="15"/>
  </w:num>
  <w:num w:numId="12" w16cid:durableId="1496339452">
    <w:abstractNumId w:val="130"/>
  </w:num>
  <w:num w:numId="13" w16cid:durableId="51000298">
    <w:abstractNumId w:val="139"/>
  </w:num>
  <w:num w:numId="14" w16cid:durableId="1243834876">
    <w:abstractNumId w:val="47"/>
  </w:num>
  <w:num w:numId="15" w16cid:durableId="1159422345">
    <w:abstractNumId w:val="107"/>
  </w:num>
  <w:num w:numId="16" w16cid:durableId="666324534">
    <w:abstractNumId w:val="45"/>
  </w:num>
  <w:num w:numId="17" w16cid:durableId="1593122923">
    <w:abstractNumId w:val="84"/>
  </w:num>
  <w:num w:numId="18" w16cid:durableId="440103654">
    <w:abstractNumId w:val="101"/>
  </w:num>
  <w:num w:numId="19" w16cid:durableId="2035762482">
    <w:abstractNumId w:val="110"/>
  </w:num>
  <w:num w:numId="20" w16cid:durableId="662591507">
    <w:abstractNumId w:val="6"/>
  </w:num>
  <w:num w:numId="21" w16cid:durableId="14307210">
    <w:abstractNumId w:val="141"/>
  </w:num>
  <w:num w:numId="22" w16cid:durableId="556087578">
    <w:abstractNumId w:val="61"/>
  </w:num>
  <w:num w:numId="23" w16cid:durableId="83497171">
    <w:abstractNumId w:val="109"/>
  </w:num>
  <w:num w:numId="24" w16cid:durableId="1978022189">
    <w:abstractNumId w:val="112"/>
  </w:num>
  <w:num w:numId="25" w16cid:durableId="859858875">
    <w:abstractNumId w:val="78"/>
  </w:num>
  <w:num w:numId="26" w16cid:durableId="982807496">
    <w:abstractNumId w:val="16"/>
  </w:num>
  <w:num w:numId="27" w16cid:durableId="674310296">
    <w:abstractNumId w:val="127"/>
  </w:num>
  <w:num w:numId="28" w16cid:durableId="1258295819">
    <w:abstractNumId w:val="137"/>
  </w:num>
  <w:num w:numId="29" w16cid:durableId="354769819">
    <w:abstractNumId w:val="99"/>
  </w:num>
  <w:num w:numId="30" w16cid:durableId="860124013">
    <w:abstractNumId w:val="103"/>
  </w:num>
  <w:num w:numId="31" w16cid:durableId="410546346">
    <w:abstractNumId w:val="129"/>
  </w:num>
  <w:num w:numId="32" w16cid:durableId="1203059203">
    <w:abstractNumId w:val="132"/>
  </w:num>
  <w:num w:numId="33" w16cid:durableId="1278483144">
    <w:abstractNumId w:val="90"/>
  </w:num>
  <w:num w:numId="34" w16cid:durableId="2090418736">
    <w:abstractNumId w:val="75"/>
  </w:num>
  <w:num w:numId="35" w16cid:durableId="1523591756">
    <w:abstractNumId w:val="52"/>
  </w:num>
  <w:num w:numId="36" w16cid:durableId="1390956196">
    <w:abstractNumId w:val="66"/>
  </w:num>
  <w:num w:numId="37" w16cid:durableId="1802262472">
    <w:abstractNumId w:val="136"/>
  </w:num>
  <w:num w:numId="38" w16cid:durableId="762721909">
    <w:abstractNumId w:val="11"/>
  </w:num>
  <w:num w:numId="39" w16cid:durableId="1940601997">
    <w:abstractNumId w:val="67"/>
  </w:num>
  <w:num w:numId="40" w16cid:durableId="863713114">
    <w:abstractNumId w:val="56"/>
  </w:num>
  <w:num w:numId="41" w16cid:durableId="1373454825">
    <w:abstractNumId w:val="50"/>
  </w:num>
  <w:num w:numId="42" w16cid:durableId="1334143510">
    <w:abstractNumId w:val="58"/>
  </w:num>
  <w:num w:numId="43" w16cid:durableId="385034422">
    <w:abstractNumId w:val="85"/>
  </w:num>
  <w:num w:numId="44" w16cid:durableId="88082045">
    <w:abstractNumId w:val="124"/>
  </w:num>
  <w:num w:numId="45" w16cid:durableId="2019576856">
    <w:abstractNumId w:val="37"/>
  </w:num>
  <w:num w:numId="46" w16cid:durableId="124351347">
    <w:abstractNumId w:val="114"/>
  </w:num>
  <w:num w:numId="47" w16cid:durableId="1345211162">
    <w:abstractNumId w:val="21"/>
  </w:num>
  <w:num w:numId="48" w16cid:durableId="2091199613">
    <w:abstractNumId w:val="54"/>
  </w:num>
  <w:num w:numId="49" w16cid:durableId="2079863980">
    <w:abstractNumId w:val="42"/>
  </w:num>
  <w:num w:numId="50" w16cid:durableId="420029992">
    <w:abstractNumId w:val="80"/>
  </w:num>
  <w:num w:numId="51" w16cid:durableId="833035963">
    <w:abstractNumId w:val="55"/>
  </w:num>
  <w:num w:numId="52" w16cid:durableId="1325234809">
    <w:abstractNumId w:val="83"/>
  </w:num>
  <w:num w:numId="53" w16cid:durableId="1971788237">
    <w:abstractNumId w:val="85"/>
    <w:lvlOverride w:ilvl="0">
      <w:startOverride w:val="1"/>
    </w:lvlOverride>
  </w:num>
  <w:num w:numId="54" w16cid:durableId="25981799">
    <w:abstractNumId w:val="3"/>
  </w:num>
  <w:num w:numId="55" w16cid:durableId="638268588">
    <w:abstractNumId w:val="3"/>
    <w:lvlOverride w:ilvl="0">
      <w:startOverride w:val="1"/>
    </w:lvlOverride>
  </w:num>
  <w:num w:numId="56" w16cid:durableId="1527448729">
    <w:abstractNumId w:val="9"/>
  </w:num>
  <w:num w:numId="57" w16cid:durableId="1379814675">
    <w:abstractNumId w:val="138"/>
  </w:num>
  <w:num w:numId="58" w16cid:durableId="63526526">
    <w:abstractNumId w:val="17"/>
  </w:num>
  <w:num w:numId="59" w16cid:durableId="1090928249">
    <w:abstractNumId w:val="116"/>
  </w:num>
  <w:num w:numId="60" w16cid:durableId="2016834409">
    <w:abstractNumId w:val="143"/>
  </w:num>
  <w:num w:numId="61" w16cid:durableId="195433810">
    <w:abstractNumId w:val="131"/>
  </w:num>
  <w:num w:numId="62" w16cid:durableId="668025651">
    <w:abstractNumId w:val="142"/>
  </w:num>
  <w:num w:numId="63" w16cid:durableId="1045758590">
    <w:abstractNumId w:val="39"/>
  </w:num>
  <w:num w:numId="64" w16cid:durableId="1455297093">
    <w:abstractNumId w:val="96"/>
  </w:num>
  <w:num w:numId="65" w16cid:durableId="1711228155">
    <w:abstractNumId w:val="135"/>
  </w:num>
  <w:num w:numId="66" w16cid:durableId="109714756">
    <w:abstractNumId w:val="4"/>
  </w:num>
  <w:num w:numId="67" w16cid:durableId="1009675313">
    <w:abstractNumId w:val="74"/>
  </w:num>
  <w:num w:numId="68" w16cid:durableId="1752192882">
    <w:abstractNumId w:val="64"/>
  </w:num>
  <w:num w:numId="69" w16cid:durableId="1522740706">
    <w:abstractNumId w:val="22"/>
  </w:num>
  <w:num w:numId="70" w16cid:durableId="1828396145">
    <w:abstractNumId w:val="77"/>
  </w:num>
  <w:num w:numId="71" w16cid:durableId="429086199">
    <w:abstractNumId w:val="94"/>
  </w:num>
  <w:num w:numId="72" w16cid:durableId="1283683353">
    <w:abstractNumId w:val="60"/>
  </w:num>
  <w:num w:numId="73" w16cid:durableId="973753316">
    <w:abstractNumId w:val="23"/>
  </w:num>
  <w:num w:numId="74" w16cid:durableId="473156">
    <w:abstractNumId w:val="106"/>
  </w:num>
  <w:num w:numId="75" w16cid:durableId="1249995412">
    <w:abstractNumId w:val="14"/>
  </w:num>
  <w:num w:numId="76" w16cid:durableId="1255893853">
    <w:abstractNumId w:val="98"/>
  </w:num>
  <w:num w:numId="77" w16cid:durableId="1640571636">
    <w:abstractNumId w:val="100"/>
  </w:num>
  <w:num w:numId="78" w16cid:durableId="664020132">
    <w:abstractNumId w:val="97"/>
  </w:num>
  <w:num w:numId="79" w16cid:durableId="1418792322">
    <w:abstractNumId w:val="111"/>
  </w:num>
  <w:num w:numId="80" w16cid:durableId="828716399">
    <w:abstractNumId w:val="68"/>
  </w:num>
  <w:num w:numId="81" w16cid:durableId="298654529">
    <w:abstractNumId w:val="102"/>
  </w:num>
  <w:num w:numId="82" w16cid:durableId="760488133">
    <w:abstractNumId w:val="20"/>
  </w:num>
  <w:num w:numId="83" w16cid:durableId="4015334">
    <w:abstractNumId w:val="72"/>
    <w:lvlOverride w:ilvl="0">
      <w:startOverride w:val="1"/>
    </w:lvlOverride>
  </w:num>
  <w:num w:numId="84" w16cid:durableId="1155343439">
    <w:abstractNumId w:val="76"/>
  </w:num>
  <w:num w:numId="85" w16cid:durableId="549922287">
    <w:abstractNumId w:val="88"/>
  </w:num>
  <w:num w:numId="86" w16cid:durableId="2064017220">
    <w:abstractNumId w:val="5"/>
  </w:num>
  <w:num w:numId="87" w16cid:durableId="925840905">
    <w:abstractNumId w:val="24"/>
  </w:num>
  <w:num w:numId="88" w16cid:durableId="2006669235">
    <w:abstractNumId w:val="89"/>
  </w:num>
  <w:num w:numId="89" w16cid:durableId="1939098843">
    <w:abstractNumId w:val="82"/>
  </w:num>
  <w:num w:numId="90" w16cid:durableId="1614899526">
    <w:abstractNumId w:val="40"/>
  </w:num>
  <w:num w:numId="91" w16cid:durableId="61948225">
    <w:abstractNumId w:val="108"/>
  </w:num>
  <w:num w:numId="92" w16cid:durableId="1822650604">
    <w:abstractNumId w:val="119"/>
  </w:num>
  <w:num w:numId="93" w16cid:durableId="751244535">
    <w:abstractNumId w:val="27"/>
  </w:num>
  <w:num w:numId="94" w16cid:durableId="1518496443">
    <w:abstractNumId w:val="126"/>
  </w:num>
  <w:num w:numId="95" w16cid:durableId="1742674000">
    <w:abstractNumId w:val="31"/>
  </w:num>
  <w:num w:numId="96" w16cid:durableId="1365977578">
    <w:abstractNumId w:val="26"/>
  </w:num>
  <w:num w:numId="97" w16cid:durableId="1907915246">
    <w:abstractNumId w:val="41"/>
  </w:num>
  <w:num w:numId="98" w16cid:durableId="400175747">
    <w:abstractNumId w:val="18"/>
  </w:num>
  <w:num w:numId="99" w16cid:durableId="1089692581">
    <w:abstractNumId w:val="51"/>
  </w:num>
  <w:num w:numId="100" w16cid:durableId="113260017">
    <w:abstractNumId w:val="8"/>
  </w:num>
  <w:num w:numId="101" w16cid:durableId="2060470757">
    <w:abstractNumId w:val="35"/>
  </w:num>
  <w:num w:numId="102" w16cid:durableId="1416710089">
    <w:abstractNumId w:val="81"/>
  </w:num>
  <w:num w:numId="103" w16cid:durableId="662006006">
    <w:abstractNumId w:val="133"/>
  </w:num>
  <w:num w:numId="104" w16cid:durableId="1554729687">
    <w:abstractNumId w:val="33"/>
  </w:num>
  <w:num w:numId="105" w16cid:durableId="1936551780">
    <w:abstractNumId w:val="10"/>
  </w:num>
  <w:num w:numId="106" w16cid:durableId="215048066">
    <w:abstractNumId w:val="73"/>
  </w:num>
  <w:num w:numId="107" w16cid:durableId="1443374668">
    <w:abstractNumId w:val="65"/>
  </w:num>
  <w:num w:numId="108" w16cid:durableId="1559435292">
    <w:abstractNumId w:val="125"/>
    <w:lvlOverride w:ilvl="0">
      <w:startOverride w:val="1"/>
    </w:lvlOverride>
  </w:num>
  <w:num w:numId="109" w16cid:durableId="396363791">
    <w:abstractNumId w:val="71"/>
  </w:num>
  <w:num w:numId="110" w16cid:durableId="576204868">
    <w:abstractNumId w:val="38"/>
  </w:num>
  <w:num w:numId="111" w16cid:durableId="1695231597">
    <w:abstractNumId w:val="134"/>
  </w:num>
  <w:num w:numId="112" w16cid:durableId="1469201710">
    <w:abstractNumId w:val="122"/>
  </w:num>
  <w:num w:numId="113" w16cid:durableId="1494224431">
    <w:abstractNumId w:val="79"/>
  </w:num>
  <w:num w:numId="114" w16cid:durableId="1176574141">
    <w:abstractNumId w:val="1"/>
  </w:num>
  <w:num w:numId="115" w16cid:durableId="978920085">
    <w:abstractNumId w:val="117"/>
  </w:num>
  <w:num w:numId="116" w16cid:durableId="306591127">
    <w:abstractNumId w:val="87"/>
  </w:num>
  <w:num w:numId="117" w16cid:durableId="1087117143">
    <w:abstractNumId w:val="87"/>
  </w:num>
  <w:num w:numId="118" w16cid:durableId="1171990218">
    <w:abstractNumId w:val="48"/>
  </w:num>
  <w:num w:numId="119" w16cid:durableId="1035228157">
    <w:abstractNumId w:val="30"/>
  </w:num>
  <w:num w:numId="120" w16cid:durableId="1041519298">
    <w:abstractNumId w:val="113"/>
  </w:num>
  <w:num w:numId="121" w16cid:durableId="1059479212">
    <w:abstractNumId w:val="113"/>
  </w:num>
  <w:num w:numId="122" w16cid:durableId="1242762915">
    <w:abstractNumId w:val="13"/>
  </w:num>
  <w:num w:numId="123" w16cid:durableId="2053265008">
    <w:abstractNumId w:val="115"/>
  </w:num>
  <w:num w:numId="124" w16cid:durableId="1810004299">
    <w:abstractNumId w:val="28"/>
  </w:num>
  <w:num w:numId="125" w16cid:durableId="1244681706">
    <w:abstractNumId w:val="3"/>
  </w:num>
  <w:num w:numId="126" w16cid:durableId="1595282659">
    <w:abstractNumId w:val="46"/>
  </w:num>
  <w:num w:numId="127" w16cid:durableId="88242100">
    <w:abstractNumId w:val="91"/>
  </w:num>
  <w:num w:numId="128" w16cid:durableId="946347828">
    <w:abstractNumId w:val="63"/>
  </w:num>
  <w:num w:numId="129" w16cid:durableId="1977685118">
    <w:abstractNumId w:val="0"/>
  </w:num>
  <w:num w:numId="130" w16cid:durableId="1348680128">
    <w:abstractNumId w:val="104"/>
  </w:num>
  <w:num w:numId="131" w16cid:durableId="1969896645">
    <w:abstractNumId w:val="70"/>
  </w:num>
  <w:num w:numId="132" w16cid:durableId="1452239371">
    <w:abstractNumId w:val="104"/>
  </w:num>
  <w:num w:numId="133" w16cid:durableId="17629699">
    <w:abstractNumId w:val="70"/>
  </w:num>
  <w:num w:numId="134" w16cid:durableId="82798049">
    <w:abstractNumId w:val="53"/>
  </w:num>
  <w:num w:numId="135" w16cid:durableId="2125878722">
    <w:abstractNumId w:val="118"/>
  </w:num>
  <w:num w:numId="136" w16cid:durableId="118764795">
    <w:abstractNumId w:val="19"/>
  </w:num>
  <w:num w:numId="137" w16cid:durableId="1456564831">
    <w:abstractNumId w:val="34"/>
  </w:num>
  <w:num w:numId="138" w16cid:durableId="1666325744">
    <w:abstractNumId w:val="123"/>
  </w:num>
  <w:num w:numId="139" w16cid:durableId="848570397">
    <w:abstractNumId w:val="3"/>
    <w:lvlOverride w:ilvl="0">
      <w:startOverride w:val="1"/>
    </w:lvlOverride>
  </w:num>
  <w:num w:numId="140" w16cid:durableId="1166242196">
    <w:abstractNumId w:val="3"/>
    <w:lvlOverride w:ilvl="0">
      <w:startOverride w:val="1"/>
    </w:lvlOverride>
  </w:num>
  <w:num w:numId="141" w16cid:durableId="1042824732">
    <w:abstractNumId w:val="85"/>
    <w:lvlOverride w:ilvl="0">
      <w:startOverride w:val="1"/>
    </w:lvlOverride>
  </w:num>
  <w:num w:numId="142" w16cid:durableId="1015882899">
    <w:abstractNumId w:val="85"/>
    <w:lvlOverride w:ilvl="0">
      <w:startOverride w:val="1"/>
    </w:lvlOverride>
  </w:num>
  <w:num w:numId="143" w16cid:durableId="1240410782">
    <w:abstractNumId w:val="69"/>
  </w:num>
  <w:num w:numId="144" w16cid:durableId="1890192139">
    <w:abstractNumId w:val="128"/>
  </w:num>
  <w:num w:numId="145" w16cid:durableId="2121291805">
    <w:abstractNumId w:val="36"/>
  </w:num>
  <w:num w:numId="146" w16cid:durableId="564797398">
    <w:abstractNumId w:val="95"/>
  </w:num>
  <w:num w:numId="147" w16cid:durableId="1246452185">
    <w:abstractNumId w:val="140"/>
  </w:num>
  <w:num w:numId="148" w16cid:durableId="1183667374">
    <w:abstractNumId w:val="0"/>
  </w:num>
  <w:num w:numId="149" w16cid:durableId="1426803208">
    <w:abstractNumId w:val="25"/>
  </w:num>
  <w:num w:numId="150" w16cid:durableId="900217596">
    <w:abstractNumId w:val="3"/>
  </w:num>
  <w:num w:numId="151" w16cid:durableId="2001612491">
    <w:abstractNumId w:val="3"/>
  </w:num>
  <w:num w:numId="152" w16cid:durableId="391660386">
    <w:abstractNumId w:val="86"/>
  </w:num>
  <w:num w:numId="153" w16cid:durableId="782923113">
    <w:abstractNumId w:val="93"/>
  </w:num>
  <w:num w:numId="154" w16cid:durableId="965815449">
    <w:abstractNumId w:val="92"/>
  </w:num>
  <w:num w:numId="155" w16cid:durableId="1549105060">
    <w:abstractNumId w:val="43"/>
  </w:num>
  <w:num w:numId="156" w16cid:durableId="1736273986">
    <w:abstractNumId w:val="121"/>
  </w:num>
  <w:num w:numId="157" w16cid:durableId="425931122">
    <w:abstractNumId w:val="85"/>
    <w:lvlOverride w:ilvl="0">
      <w:startOverride w:val="1"/>
    </w:lvlOverride>
  </w:num>
  <w:num w:numId="158" w16cid:durableId="225653777">
    <w:abstractNumId w:val="57"/>
  </w:num>
  <w:num w:numId="159" w16cid:durableId="186254879">
    <w:abstractNumId w:val="2"/>
  </w:num>
  <w:num w:numId="160" w16cid:durableId="1982954889">
    <w:abstractNumId w:val="85"/>
    <w:lvlOverride w:ilvl="0">
      <w:startOverride w:val="1"/>
    </w:lvlOverride>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5A2"/>
    <w:rsid w:val="000008A9"/>
    <w:rsid w:val="000009D0"/>
    <w:rsid w:val="00000A1F"/>
    <w:rsid w:val="00000D1D"/>
    <w:rsid w:val="000011A3"/>
    <w:rsid w:val="00001313"/>
    <w:rsid w:val="00001516"/>
    <w:rsid w:val="0000159F"/>
    <w:rsid w:val="000016BC"/>
    <w:rsid w:val="00001B15"/>
    <w:rsid w:val="00001BCD"/>
    <w:rsid w:val="0000247A"/>
    <w:rsid w:val="000024C7"/>
    <w:rsid w:val="00002886"/>
    <w:rsid w:val="000029AC"/>
    <w:rsid w:val="00002B13"/>
    <w:rsid w:val="00002F82"/>
    <w:rsid w:val="000033B5"/>
    <w:rsid w:val="00003883"/>
    <w:rsid w:val="00003B78"/>
    <w:rsid w:val="00003E20"/>
    <w:rsid w:val="000041CC"/>
    <w:rsid w:val="000046FE"/>
    <w:rsid w:val="000047FD"/>
    <w:rsid w:val="00004AAE"/>
    <w:rsid w:val="00004AC8"/>
    <w:rsid w:val="00005135"/>
    <w:rsid w:val="000051CC"/>
    <w:rsid w:val="000053BA"/>
    <w:rsid w:val="0000550D"/>
    <w:rsid w:val="00005B23"/>
    <w:rsid w:val="00005B3E"/>
    <w:rsid w:val="00005C35"/>
    <w:rsid w:val="00006055"/>
    <w:rsid w:val="000060D0"/>
    <w:rsid w:val="0000630C"/>
    <w:rsid w:val="00006416"/>
    <w:rsid w:val="000065ED"/>
    <w:rsid w:val="0000663D"/>
    <w:rsid w:val="00006AD4"/>
    <w:rsid w:val="00006C3B"/>
    <w:rsid w:val="00006CB9"/>
    <w:rsid w:val="000074C4"/>
    <w:rsid w:val="0000781C"/>
    <w:rsid w:val="000078D6"/>
    <w:rsid w:val="000079A6"/>
    <w:rsid w:val="000100BE"/>
    <w:rsid w:val="00010391"/>
    <w:rsid w:val="00010396"/>
    <w:rsid w:val="00010795"/>
    <w:rsid w:val="000107AD"/>
    <w:rsid w:val="000107D4"/>
    <w:rsid w:val="000108BF"/>
    <w:rsid w:val="00010E2C"/>
    <w:rsid w:val="0001111C"/>
    <w:rsid w:val="00011170"/>
    <w:rsid w:val="000116EE"/>
    <w:rsid w:val="000119A0"/>
    <w:rsid w:val="00011BB2"/>
    <w:rsid w:val="0001210D"/>
    <w:rsid w:val="00012505"/>
    <w:rsid w:val="00012685"/>
    <w:rsid w:val="000127DF"/>
    <w:rsid w:val="00012C4F"/>
    <w:rsid w:val="00013198"/>
    <w:rsid w:val="000131D1"/>
    <w:rsid w:val="00013244"/>
    <w:rsid w:val="000133F1"/>
    <w:rsid w:val="00013455"/>
    <w:rsid w:val="000134E3"/>
    <w:rsid w:val="0001353D"/>
    <w:rsid w:val="00013632"/>
    <w:rsid w:val="00013B26"/>
    <w:rsid w:val="00013E6C"/>
    <w:rsid w:val="00013F5E"/>
    <w:rsid w:val="0001403F"/>
    <w:rsid w:val="00014842"/>
    <w:rsid w:val="0001487F"/>
    <w:rsid w:val="000148D8"/>
    <w:rsid w:val="00014F35"/>
    <w:rsid w:val="0001502F"/>
    <w:rsid w:val="000151A4"/>
    <w:rsid w:val="0001546E"/>
    <w:rsid w:val="00015495"/>
    <w:rsid w:val="000154FA"/>
    <w:rsid w:val="000156CE"/>
    <w:rsid w:val="00015C3D"/>
    <w:rsid w:val="00015F98"/>
    <w:rsid w:val="00016616"/>
    <w:rsid w:val="000166AC"/>
    <w:rsid w:val="0001784B"/>
    <w:rsid w:val="00017B7F"/>
    <w:rsid w:val="00017C7D"/>
    <w:rsid w:val="00017EDA"/>
    <w:rsid w:val="00017F92"/>
    <w:rsid w:val="000212A5"/>
    <w:rsid w:val="00021474"/>
    <w:rsid w:val="00021B47"/>
    <w:rsid w:val="00021D6D"/>
    <w:rsid w:val="00021F64"/>
    <w:rsid w:val="00022235"/>
    <w:rsid w:val="00022B8C"/>
    <w:rsid w:val="000230C0"/>
    <w:rsid w:val="0002328C"/>
    <w:rsid w:val="00023366"/>
    <w:rsid w:val="000235F7"/>
    <w:rsid w:val="00023742"/>
    <w:rsid w:val="00023AA3"/>
    <w:rsid w:val="00023AF3"/>
    <w:rsid w:val="00023EF0"/>
    <w:rsid w:val="000240C7"/>
    <w:rsid w:val="00024523"/>
    <w:rsid w:val="00024AEF"/>
    <w:rsid w:val="00024BA6"/>
    <w:rsid w:val="0002517E"/>
    <w:rsid w:val="00025637"/>
    <w:rsid w:val="0002563A"/>
    <w:rsid w:val="0002587B"/>
    <w:rsid w:val="00025B11"/>
    <w:rsid w:val="000260E9"/>
    <w:rsid w:val="0002614B"/>
    <w:rsid w:val="0002621F"/>
    <w:rsid w:val="0002633E"/>
    <w:rsid w:val="00026357"/>
    <w:rsid w:val="000265E5"/>
    <w:rsid w:val="000266F7"/>
    <w:rsid w:val="00026B6C"/>
    <w:rsid w:val="00026C56"/>
    <w:rsid w:val="00026C65"/>
    <w:rsid w:val="00027130"/>
    <w:rsid w:val="00027219"/>
    <w:rsid w:val="000276B4"/>
    <w:rsid w:val="0002771A"/>
    <w:rsid w:val="00027755"/>
    <w:rsid w:val="00027864"/>
    <w:rsid w:val="0002789E"/>
    <w:rsid w:val="00027A5E"/>
    <w:rsid w:val="00027DE9"/>
    <w:rsid w:val="00030048"/>
    <w:rsid w:val="0003072D"/>
    <w:rsid w:val="000308CB"/>
    <w:rsid w:val="0003112C"/>
    <w:rsid w:val="000314CD"/>
    <w:rsid w:val="00031972"/>
    <w:rsid w:val="00031B24"/>
    <w:rsid w:val="00032093"/>
    <w:rsid w:val="0003209D"/>
    <w:rsid w:val="00032431"/>
    <w:rsid w:val="00032689"/>
    <w:rsid w:val="00033018"/>
    <w:rsid w:val="000332F4"/>
    <w:rsid w:val="0003332B"/>
    <w:rsid w:val="00033544"/>
    <w:rsid w:val="000335CC"/>
    <w:rsid w:val="000336CB"/>
    <w:rsid w:val="00033992"/>
    <w:rsid w:val="0003429B"/>
    <w:rsid w:val="00034491"/>
    <w:rsid w:val="00034668"/>
    <w:rsid w:val="000346E5"/>
    <w:rsid w:val="0003479E"/>
    <w:rsid w:val="000348CE"/>
    <w:rsid w:val="00034B4A"/>
    <w:rsid w:val="00034D66"/>
    <w:rsid w:val="00034FDB"/>
    <w:rsid w:val="00035691"/>
    <w:rsid w:val="00035ADF"/>
    <w:rsid w:val="00035B5C"/>
    <w:rsid w:val="00035B84"/>
    <w:rsid w:val="00035D6E"/>
    <w:rsid w:val="00036446"/>
    <w:rsid w:val="0003666F"/>
    <w:rsid w:val="00036787"/>
    <w:rsid w:val="000368AC"/>
    <w:rsid w:val="000368EF"/>
    <w:rsid w:val="00036C43"/>
    <w:rsid w:val="00036E11"/>
    <w:rsid w:val="000374D2"/>
    <w:rsid w:val="0003767C"/>
    <w:rsid w:val="00037787"/>
    <w:rsid w:val="00037CB1"/>
    <w:rsid w:val="0004033C"/>
    <w:rsid w:val="000403D6"/>
    <w:rsid w:val="0004043D"/>
    <w:rsid w:val="00040DA4"/>
    <w:rsid w:val="00040F4F"/>
    <w:rsid w:val="00041039"/>
    <w:rsid w:val="0004132D"/>
    <w:rsid w:val="000414BE"/>
    <w:rsid w:val="0004187B"/>
    <w:rsid w:val="00041C06"/>
    <w:rsid w:val="00041C9D"/>
    <w:rsid w:val="00041ECC"/>
    <w:rsid w:val="00042A2D"/>
    <w:rsid w:val="000430EC"/>
    <w:rsid w:val="000432D6"/>
    <w:rsid w:val="00043628"/>
    <w:rsid w:val="0004419D"/>
    <w:rsid w:val="000441DC"/>
    <w:rsid w:val="0004457B"/>
    <w:rsid w:val="00044CFA"/>
    <w:rsid w:val="000455E3"/>
    <w:rsid w:val="000456B0"/>
    <w:rsid w:val="000458EE"/>
    <w:rsid w:val="00045991"/>
    <w:rsid w:val="000459C7"/>
    <w:rsid w:val="00045B33"/>
    <w:rsid w:val="00045B59"/>
    <w:rsid w:val="00045B81"/>
    <w:rsid w:val="00046630"/>
    <w:rsid w:val="00046C80"/>
    <w:rsid w:val="0004703A"/>
    <w:rsid w:val="00047136"/>
    <w:rsid w:val="00047317"/>
    <w:rsid w:val="0004771D"/>
    <w:rsid w:val="00047FA5"/>
    <w:rsid w:val="00050112"/>
    <w:rsid w:val="000501EE"/>
    <w:rsid w:val="00050206"/>
    <w:rsid w:val="00050276"/>
    <w:rsid w:val="0005027E"/>
    <w:rsid w:val="00050466"/>
    <w:rsid w:val="000505CC"/>
    <w:rsid w:val="00050B25"/>
    <w:rsid w:val="00050EF9"/>
    <w:rsid w:val="000511F9"/>
    <w:rsid w:val="00051B32"/>
    <w:rsid w:val="00051DC6"/>
    <w:rsid w:val="0005230E"/>
    <w:rsid w:val="000523ED"/>
    <w:rsid w:val="000526E4"/>
    <w:rsid w:val="0005277C"/>
    <w:rsid w:val="00052850"/>
    <w:rsid w:val="000528A2"/>
    <w:rsid w:val="0005298F"/>
    <w:rsid w:val="00052BBA"/>
    <w:rsid w:val="00052C59"/>
    <w:rsid w:val="00052CAB"/>
    <w:rsid w:val="00052D18"/>
    <w:rsid w:val="0005308F"/>
    <w:rsid w:val="00053511"/>
    <w:rsid w:val="00053588"/>
    <w:rsid w:val="00054272"/>
    <w:rsid w:val="00054492"/>
    <w:rsid w:val="00054945"/>
    <w:rsid w:val="00054B05"/>
    <w:rsid w:val="00054D9D"/>
    <w:rsid w:val="00054DE4"/>
    <w:rsid w:val="00055208"/>
    <w:rsid w:val="00055382"/>
    <w:rsid w:val="000554BF"/>
    <w:rsid w:val="000555E3"/>
    <w:rsid w:val="00055676"/>
    <w:rsid w:val="00055714"/>
    <w:rsid w:val="0005587F"/>
    <w:rsid w:val="00055DBC"/>
    <w:rsid w:val="00055F33"/>
    <w:rsid w:val="0005625B"/>
    <w:rsid w:val="0005639E"/>
    <w:rsid w:val="00056544"/>
    <w:rsid w:val="00056BDE"/>
    <w:rsid w:val="00056C32"/>
    <w:rsid w:val="000573F8"/>
    <w:rsid w:val="0005792C"/>
    <w:rsid w:val="00057B56"/>
    <w:rsid w:val="00057DDA"/>
    <w:rsid w:val="0006042E"/>
    <w:rsid w:val="0006072B"/>
    <w:rsid w:val="00060D29"/>
    <w:rsid w:val="00060D8E"/>
    <w:rsid w:val="00060EF4"/>
    <w:rsid w:val="0006128F"/>
    <w:rsid w:val="000614EA"/>
    <w:rsid w:val="00061517"/>
    <w:rsid w:val="0006165A"/>
    <w:rsid w:val="000619F4"/>
    <w:rsid w:val="00061DB8"/>
    <w:rsid w:val="00061DEA"/>
    <w:rsid w:val="00061F7F"/>
    <w:rsid w:val="00062159"/>
    <w:rsid w:val="00062568"/>
    <w:rsid w:val="000625AB"/>
    <w:rsid w:val="0006280D"/>
    <w:rsid w:val="00062B5D"/>
    <w:rsid w:val="00062B9D"/>
    <w:rsid w:val="00062D06"/>
    <w:rsid w:val="00062DF5"/>
    <w:rsid w:val="0006313D"/>
    <w:rsid w:val="00063201"/>
    <w:rsid w:val="000633A0"/>
    <w:rsid w:val="000636BD"/>
    <w:rsid w:val="00063D9E"/>
    <w:rsid w:val="000641D8"/>
    <w:rsid w:val="0006467E"/>
    <w:rsid w:val="00064AD3"/>
    <w:rsid w:val="00065088"/>
    <w:rsid w:val="000652D3"/>
    <w:rsid w:val="0006547C"/>
    <w:rsid w:val="000654A0"/>
    <w:rsid w:val="0006593B"/>
    <w:rsid w:val="00065A69"/>
    <w:rsid w:val="00065E94"/>
    <w:rsid w:val="0006629B"/>
    <w:rsid w:val="00066356"/>
    <w:rsid w:val="0006646E"/>
    <w:rsid w:val="00066719"/>
    <w:rsid w:val="00066D41"/>
    <w:rsid w:val="00066D97"/>
    <w:rsid w:val="00067D47"/>
    <w:rsid w:val="0007010D"/>
    <w:rsid w:val="000701AD"/>
    <w:rsid w:val="00070405"/>
    <w:rsid w:val="00070714"/>
    <w:rsid w:val="00070718"/>
    <w:rsid w:val="000707CA"/>
    <w:rsid w:val="00070A72"/>
    <w:rsid w:val="00070D21"/>
    <w:rsid w:val="000711CE"/>
    <w:rsid w:val="000711DA"/>
    <w:rsid w:val="000711ED"/>
    <w:rsid w:val="000717FB"/>
    <w:rsid w:val="000719BF"/>
    <w:rsid w:val="00071F2A"/>
    <w:rsid w:val="0007208A"/>
    <w:rsid w:val="0007213C"/>
    <w:rsid w:val="00072222"/>
    <w:rsid w:val="00072515"/>
    <w:rsid w:val="0007258C"/>
    <w:rsid w:val="0007291F"/>
    <w:rsid w:val="00072B3E"/>
    <w:rsid w:val="00072BBA"/>
    <w:rsid w:val="00072FF5"/>
    <w:rsid w:val="000730DC"/>
    <w:rsid w:val="000743C4"/>
    <w:rsid w:val="000747BC"/>
    <w:rsid w:val="000747F7"/>
    <w:rsid w:val="000749BB"/>
    <w:rsid w:val="000752E5"/>
    <w:rsid w:val="00075841"/>
    <w:rsid w:val="00075965"/>
    <w:rsid w:val="00075D33"/>
    <w:rsid w:val="00075FDA"/>
    <w:rsid w:val="0007613F"/>
    <w:rsid w:val="00076386"/>
    <w:rsid w:val="000764B7"/>
    <w:rsid w:val="00076D82"/>
    <w:rsid w:val="00077C0F"/>
    <w:rsid w:val="00077FD6"/>
    <w:rsid w:val="0008007F"/>
    <w:rsid w:val="00080BFC"/>
    <w:rsid w:val="00081EC2"/>
    <w:rsid w:val="00082154"/>
    <w:rsid w:val="000827D6"/>
    <w:rsid w:val="000827E0"/>
    <w:rsid w:val="00082A5C"/>
    <w:rsid w:val="00082B0A"/>
    <w:rsid w:val="00083133"/>
    <w:rsid w:val="00083366"/>
    <w:rsid w:val="00083499"/>
    <w:rsid w:val="00083740"/>
    <w:rsid w:val="00083800"/>
    <w:rsid w:val="00083CB3"/>
    <w:rsid w:val="00083F6A"/>
    <w:rsid w:val="00084199"/>
    <w:rsid w:val="0008436D"/>
    <w:rsid w:val="000844A3"/>
    <w:rsid w:val="00084600"/>
    <w:rsid w:val="00084A65"/>
    <w:rsid w:val="00084B26"/>
    <w:rsid w:val="00084B94"/>
    <w:rsid w:val="00084FC2"/>
    <w:rsid w:val="00085193"/>
    <w:rsid w:val="000853CD"/>
    <w:rsid w:val="0008559A"/>
    <w:rsid w:val="000856C4"/>
    <w:rsid w:val="00085854"/>
    <w:rsid w:val="00085E6A"/>
    <w:rsid w:val="00086D71"/>
    <w:rsid w:val="00086DB5"/>
    <w:rsid w:val="00086FD6"/>
    <w:rsid w:val="000872B9"/>
    <w:rsid w:val="0008743B"/>
    <w:rsid w:val="00087F0C"/>
    <w:rsid w:val="0009000E"/>
    <w:rsid w:val="00090258"/>
    <w:rsid w:val="000902C2"/>
    <w:rsid w:val="00090554"/>
    <w:rsid w:val="00090A0E"/>
    <w:rsid w:val="00090BBD"/>
    <w:rsid w:val="00090CFA"/>
    <w:rsid w:val="00090E01"/>
    <w:rsid w:val="00090F51"/>
    <w:rsid w:val="00091061"/>
    <w:rsid w:val="000910D0"/>
    <w:rsid w:val="000913A1"/>
    <w:rsid w:val="00091A92"/>
    <w:rsid w:val="00091F3B"/>
    <w:rsid w:val="00091F8D"/>
    <w:rsid w:val="000922A0"/>
    <w:rsid w:val="00092318"/>
    <w:rsid w:val="000923DD"/>
    <w:rsid w:val="00092553"/>
    <w:rsid w:val="000929F5"/>
    <w:rsid w:val="00092B39"/>
    <w:rsid w:val="00092B95"/>
    <w:rsid w:val="00092D36"/>
    <w:rsid w:val="00092F7A"/>
    <w:rsid w:val="00093377"/>
    <w:rsid w:val="00093415"/>
    <w:rsid w:val="00093742"/>
    <w:rsid w:val="00093C49"/>
    <w:rsid w:val="000941FD"/>
    <w:rsid w:val="0009429E"/>
    <w:rsid w:val="0009495C"/>
    <w:rsid w:val="00094CAF"/>
    <w:rsid w:val="00095109"/>
    <w:rsid w:val="0009515C"/>
    <w:rsid w:val="0009568C"/>
    <w:rsid w:val="000956AB"/>
    <w:rsid w:val="000959ED"/>
    <w:rsid w:val="00095A80"/>
    <w:rsid w:val="00096A7F"/>
    <w:rsid w:val="000972E7"/>
    <w:rsid w:val="000973D4"/>
    <w:rsid w:val="000973E1"/>
    <w:rsid w:val="0009FDC9"/>
    <w:rsid w:val="000A03BB"/>
    <w:rsid w:val="000A0B21"/>
    <w:rsid w:val="000A0B2A"/>
    <w:rsid w:val="000A110A"/>
    <w:rsid w:val="000A1402"/>
    <w:rsid w:val="000A20BA"/>
    <w:rsid w:val="000A2546"/>
    <w:rsid w:val="000A25A0"/>
    <w:rsid w:val="000A262C"/>
    <w:rsid w:val="000A26F7"/>
    <w:rsid w:val="000A27C7"/>
    <w:rsid w:val="000A2800"/>
    <w:rsid w:val="000A2EE9"/>
    <w:rsid w:val="000A375D"/>
    <w:rsid w:val="000A37AD"/>
    <w:rsid w:val="000A38DC"/>
    <w:rsid w:val="000A3B3D"/>
    <w:rsid w:val="000A3BC9"/>
    <w:rsid w:val="000A3C8D"/>
    <w:rsid w:val="000A3DFE"/>
    <w:rsid w:val="000A3E2F"/>
    <w:rsid w:val="000A3E4D"/>
    <w:rsid w:val="000A3FEF"/>
    <w:rsid w:val="000A40EC"/>
    <w:rsid w:val="000A4323"/>
    <w:rsid w:val="000A4370"/>
    <w:rsid w:val="000A4555"/>
    <w:rsid w:val="000A45F7"/>
    <w:rsid w:val="000A4621"/>
    <w:rsid w:val="000A5291"/>
    <w:rsid w:val="000A54EE"/>
    <w:rsid w:val="000A5B41"/>
    <w:rsid w:val="000A5B5E"/>
    <w:rsid w:val="000A5DA0"/>
    <w:rsid w:val="000A60A0"/>
    <w:rsid w:val="000A645E"/>
    <w:rsid w:val="000A6672"/>
    <w:rsid w:val="000A6A23"/>
    <w:rsid w:val="000A6D3D"/>
    <w:rsid w:val="000A6E99"/>
    <w:rsid w:val="000A70D9"/>
    <w:rsid w:val="000A7135"/>
    <w:rsid w:val="000A7206"/>
    <w:rsid w:val="000A73C1"/>
    <w:rsid w:val="000A7B8E"/>
    <w:rsid w:val="000A7BC5"/>
    <w:rsid w:val="000A7EFD"/>
    <w:rsid w:val="000B0214"/>
    <w:rsid w:val="000B03A5"/>
    <w:rsid w:val="000B0554"/>
    <w:rsid w:val="000B057E"/>
    <w:rsid w:val="000B0C45"/>
    <w:rsid w:val="000B0C77"/>
    <w:rsid w:val="000B0FE3"/>
    <w:rsid w:val="000B13D2"/>
    <w:rsid w:val="000B13E1"/>
    <w:rsid w:val="000B16DB"/>
    <w:rsid w:val="000B18D7"/>
    <w:rsid w:val="000B1A58"/>
    <w:rsid w:val="000B1C5E"/>
    <w:rsid w:val="000B20B2"/>
    <w:rsid w:val="000B2282"/>
    <w:rsid w:val="000B27E9"/>
    <w:rsid w:val="000B283B"/>
    <w:rsid w:val="000B2A11"/>
    <w:rsid w:val="000B2A5B"/>
    <w:rsid w:val="000B2C93"/>
    <w:rsid w:val="000B2F7A"/>
    <w:rsid w:val="000B3057"/>
    <w:rsid w:val="000B33F4"/>
    <w:rsid w:val="000B396D"/>
    <w:rsid w:val="000B399E"/>
    <w:rsid w:val="000B3B91"/>
    <w:rsid w:val="000B3CD9"/>
    <w:rsid w:val="000B40BF"/>
    <w:rsid w:val="000B4104"/>
    <w:rsid w:val="000B411C"/>
    <w:rsid w:val="000B4207"/>
    <w:rsid w:val="000B431F"/>
    <w:rsid w:val="000B4B1B"/>
    <w:rsid w:val="000B4CB1"/>
    <w:rsid w:val="000B4D27"/>
    <w:rsid w:val="000B50C3"/>
    <w:rsid w:val="000B521C"/>
    <w:rsid w:val="000B543D"/>
    <w:rsid w:val="000B564A"/>
    <w:rsid w:val="000B5AC9"/>
    <w:rsid w:val="000B5F0A"/>
    <w:rsid w:val="000B6244"/>
    <w:rsid w:val="000B6836"/>
    <w:rsid w:val="000B68A8"/>
    <w:rsid w:val="000B699D"/>
    <w:rsid w:val="000B6BC9"/>
    <w:rsid w:val="000B6D47"/>
    <w:rsid w:val="000B6D65"/>
    <w:rsid w:val="000B6FE9"/>
    <w:rsid w:val="000B743C"/>
    <w:rsid w:val="000B7724"/>
    <w:rsid w:val="000B77A7"/>
    <w:rsid w:val="000B78F6"/>
    <w:rsid w:val="000B7929"/>
    <w:rsid w:val="000B7B21"/>
    <w:rsid w:val="000B7C46"/>
    <w:rsid w:val="000C01D4"/>
    <w:rsid w:val="000C01EC"/>
    <w:rsid w:val="000C01EE"/>
    <w:rsid w:val="000C0408"/>
    <w:rsid w:val="000C042D"/>
    <w:rsid w:val="000C05DE"/>
    <w:rsid w:val="000C06B8"/>
    <w:rsid w:val="000C06E0"/>
    <w:rsid w:val="000C08D3"/>
    <w:rsid w:val="000C0EE8"/>
    <w:rsid w:val="000C10F9"/>
    <w:rsid w:val="000C10FA"/>
    <w:rsid w:val="000C1580"/>
    <w:rsid w:val="000C176B"/>
    <w:rsid w:val="000C1A0D"/>
    <w:rsid w:val="000C1AD0"/>
    <w:rsid w:val="000C1D59"/>
    <w:rsid w:val="000C1D9F"/>
    <w:rsid w:val="000C1E64"/>
    <w:rsid w:val="000C2027"/>
    <w:rsid w:val="000C20C4"/>
    <w:rsid w:val="000C220E"/>
    <w:rsid w:val="000C23BB"/>
    <w:rsid w:val="000C2790"/>
    <w:rsid w:val="000C2AF7"/>
    <w:rsid w:val="000C2B09"/>
    <w:rsid w:val="000C2C21"/>
    <w:rsid w:val="000C2F85"/>
    <w:rsid w:val="000C2FCE"/>
    <w:rsid w:val="000C3071"/>
    <w:rsid w:val="000C30CF"/>
    <w:rsid w:val="000C3308"/>
    <w:rsid w:val="000C35B2"/>
    <w:rsid w:val="000C35E6"/>
    <w:rsid w:val="000C36ED"/>
    <w:rsid w:val="000C3BFB"/>
    <w:rsid w:val="000C3CCC"/>
    <w:rsid w:val="000C416C"/>
    <w:rsid w:val="000C44CC"/>
    <w:rsid w:val="000C4548"/>
    <w:rsid w:val="000C4696"/>
    <w:rsid w:val="000C4ACE"/>
    <w:rsid w:val="000C4AD9"/>
    <w:rsid w:val="000C4E76"/>
    <w:rsid w:val="000C501D"/>
    <w:rsid w:val="000C5325"/>
    <w:rsid w:val="000C5B5B"/>
    <w:rsid w:val="000C5CBA"/>
    <w:rsid w:val="000C5F33"/>
    <w:rsid w:val="000C644D"/>
    <w:rsid w:val="000C6660"/>
    <w:rsid w:val="000C6C9E"/>
    <w:rsid w:val="000C6D8B"/>
    <w:rsid w:val="000C6DD8"/>
    <w:rsid w:val="000C6E47"/>
    <w:rsid w:val="000C7042"/>
    <w:rsid w:val="000C74BA"/>
    <w:rsid w:val="000C7531"/>
    <w:rsid w:val="000C78FF"/>
    <w:rsid w:val="000C7BA7"/>
    <w:rsid w:val="000C7C37"/>
    <w:rsid w:val="000C7C3F"/>
    <w:rsid w:val="000D049E"/>
    <w:rsid w:val="000D06EF"/>
    <w:rsid w:val="000D0798"/>
    <w:rsid w:val="000D0BBC"/>
    <w:rsid w:val="000D0BD6"/>
    <w:rsid w:val="000D0C61"/>
    <w:rsid w:val="000D0C76"/>
    <w:rsid w:val="000D0D44"/>
    <w:rsid w:val="000D1078"/>
    <w:rsid w:val="000D11E1"/>
    <w:rsid w:val="000D1440"/>
    <w:rsid w:val="000D1E75"/>
    <w:rsid w:val="000D1E85"/>
    <w:rsid w:val="000D21F9"/>
    <w:rsid w:val="000D24BD"/>
    <w:rsid w:val="000D27AD"/>
    <w:rsid w:val="000D2810"/>
    <w:rsid w:val="000D29D1"/>
    <w:rsid w:val="000D2A2B"/>
    <w:rsid w:val="000D2B05"/>
    <w:rsid w:val="000D2B0A"/>
    <w:rsid w:val="000D2EBA"/>
    <w:rsid w:val="000D3266"/>
    <w:rsid w:val="000D327A"/>
    <w:rsid w:val="000D3286"/>
    <w:rsid w:val="000D344D"/>
    <w:rsid w:val="000D348F"/>
    <w:rsid w:val="000D34C8"/>
    <w:rsid w:val="000D3608"/>
    <w:rsid w:val="000D36AE"/>
    <w:rsid w:val="000D3A5C"/>
    <w:rsid w:val="000D3CF5"/>
    <w:rsid w:val="000D3DF3"/>
    <w:rsid w:val="000D3EB1"/>
    <w:rsid w:val="000D3F33"/>
    <w:rsid w:val="000D40E7"/>
    <w:rsid w:val="000D4157"/>
    <w:rsid w:val="000D4938"/>
    <w:rsid w:val="000D5004"/>
    <w:rsid w:val="000D56AC"/>
    <w:rsid w:val="000D584F"/>
    <w:rsid w:val="000D58A4"/>
    <w:rsid w:val="000D590E"/>
    <w:rsid w:val="000D5A28"/>
    <w:rsid w:val="000D5AF5"/>
    <w:rsid w:val="000D5B08"/>
    <w:rsid w:val="000D6251"/>
    <w:rsid w:val="000D63E6"/>
    <w:rsid w:val="000D6780"/>
    <w:rsid w:val="000D68FE"/>
    <w:rsid w:val="000D693B"/>
    <w:rsid w:val="000D71EA"/>
    <w:rsid w:val="000D76BC"/>
    <w:rsid w:val="000D76CC"/>
    <w:rsid w:val="000D7750"/>
    <w:rsid w:val="000D77A1"/>
    <w:rsid w:val="000D7895"/>
    <w:rsid w:val="000D7B29"/>
    <w:rsid w:val="000E00D2"/>
    <w:rsid w:val="000E0352"/>
    <w:rsid w:val="000E071E"/>
    <w:rsid w:val="000E07DC"/>
    <w:rsid w:val="000E0928"/>
    <w:rsid w:val="000E0DEE"/>
    <w:rsid w:val="000E1187"/>
    <w:rsid w:val="000E1245"/>
    <w:rsid w:val="000E1388"/>
    <w:rsid w:val="000E138B"/>
    <w:rsid w:val="000E181D"/>
    <w:rsid w:val="000E1FD6"/>
    <w:rsid w:val="000E23F3"/>
    <w:rsid w:val="000E2557"/>
    <w:rsid w:val="000E27AA"/>
    <w:rsid w:val="000E2B98"/>
    <w:rsid w:val="000E2C8D"/>
    <w:rsid w:val="000E2C9E"/>
    <w:rsid w:val="000E2D22"/>
    <w:rsid w:val="000E2E03"/>
    <w:rsid w:val="000E313B"/>
    <w:rsid w:val="000E3237"/>
    <w:rsid w:val="000E337A"/>
    <w:rsid w:val="000E34FD"/>
    <w:rsid w:val="000E3BEA"/>
    <w:rsid w:val="000E3BFB"/>
    <w:rsid w:val="000E3F60"/>
    <w:rsid w:val="000E4350"/>
    <w:rsid w:val="000E4355"/>
    <w:rsid w:val="000E4376"/>
    <w:rsid w:val="000E4408"/>
    <w:rsid w:val="000E46D3"/>
    <w:rsid w:val="000E4A4A"/>
    <w:rsid w:val="000E4B6F"/>
    <w:rsid w:val="000E4BD3"/>
    <w:rsid w:val="000E4E70"/>
    <w:rsid w:val="000E53AB"/>
    <w:rsid w:val="000E5716"/>
    <w:rsid w:val="000E5869"/>
    <w:rsid w:val="000E58D7"/>
    <w:rsid w:val="000E59CA"/>
    <w:rsid w:val="000E5AAA"/>
    <w:rsid w:val="000E5DA0"/>
    <w:rsid w:val="000E6322"/>
    <w:rsid w:val="000E6337"/>
    <w:rsid w:val="000E6373"/>
    <w:rsid w:val="000E66B5"/>
    <w:rsid w:val="000E68A1"/>
    <w:rsid w:val="000E69F5"/>
    <w:rsid w:val="000E7144"/>
    <w:rsid w:val="000E73C8"/>
    <w:rsid w:val="000E74CB"/>
    <w:rsid w:val="000E77A9"/>
    <w:rsid w:val="000E7A79"/>
    <w:rsid w:val="000F0016"/>
    <w:rsid w:val="000F07F1"/>
    <w:rsid w:val="000F084C"/>
    <w:rsid w:val="000F0EA1"/>
    <w:rsid w:val="000F0F1D"/>
    <w:rsid w:val="000F1573"/>
    <w:rsid w:val="000F15B2"/>
    <w:rsid w:val="000F1890"/>
    <w:rsid w:val="000F19DE"/>
    <w:rsid w:val="000F1F3D"/>
    <w:rsid w:val="000F216B"/>
    <w:rsid w:val="000F252B"/>
    <w:rsid w:val="000F2686"/>
    <w:rsid w:val="000F2B39"/>
    <w:rsid w:val="000F2E1F"/>
    <w:rsid w:val="000F314D"/>
    <w:rsid w:val="000F34D1"/>
    <w:rsid w:val="000F34EE"/>
    <w:rsid w:val="000F37B0"/>
    <w:rsid w:val="000F3838"/>
    <w:rsid w:val="000F384F"/>
    <w:rsid w:val="000F38DF"/>
    <w:rsid w:val="000F3BA8"/>
    <w:rsid w:val="000F4040"/>
    <w:rsid w:val="000F426C"/>
    <w:rsid w:val="000F4595"/>
    <w:rsid w:val="000F4A71"/>
    <w:rsid w:val="000F4CB2"/>
    <w:rsid w:val="000F4DAA"/>
    <w:rsid w:val="000F4E44"/>
    <w:rsid w:val="000F4E90"/>
    <w:rsid w:val="000F5100"/>
    <w:rsid w:val="000F568D"/>
    <w:rsid w:val="000F569C"/>
    <w:rsid w:val="000F57E4"/>
    <w:rsid w:val="000F586C"/>
    <w:rsid w:val="000F5C7E"/>
    <w:rsid w:val="000F5D39"/>
    <w:rsid w:val="000F6384"/>
    <w:rsid w:val="000F68D0"/>
    <w:rsid w:val="000F6B15"/>
    <w:rsid w:val="000F6C06"/>
    <w:rsid w:val="000F6DDF"/>
    <w:rsid w:val="000F7100"/>
    <w:rsid w:val="000F715C"/>
    <w:rsid w:val="000F7720"/>
    <w:rsid w:val="000F7857"/>
    <w:rsid w:val="000F7C7B"/>
    <w:rsid w:val="000F7E5D"/>
    <w:rsid w:val="00100010"/>
    <w:rsid w:val="0010030B"/>
    <w:rsid w:val="001003CC"/>
    <w:rsid w:val="001006F5"/>
    <w:rsid w:val="0010088E"/>
    <w:rsid w:val="00100913"/>
    <w:rsid w:val="00100A08"/>
    <w:rsid w:val="00100AFE"/>
    <w:rsid w:val="00100BA0"/>
    <w:rsid w:val="00100C52"/>
    <w:rsid w:val="001013A4"/>
    <w:rsid w:val="00101451"/>
    <w:rsid w:val="0010148B"/>
    <w:rsid w:val="0010170B"/>
    <w:rsid w:val="001018E9"/>
    <w:rsid w:val="00101B1B"/>
    <w:rsid w:val="00101C4F"/>
    <w:rsid w:val="001026AB"/>
    <w:rsid w:val="001027AF"/>
    <w:rsid w:val="00102861"/>
    <w:rsid w:val="00102C9F"/>
    <w:rsid w:val="0010318B"/>
    <w:rsid w:val="00103431"/>
    <w:rsid w:val="001034E9"/>
    <w:rsid w:val="00103C18"/>
    <w:rsid w:val="00103D9C"/>
    <w:rsid w:val="00103E79"/>
    <w:rsid w:val="00103FC9"/>
    <w:rsid w:val="00104A2F"/>
    <w:rsid w:val="00104CD0"/>
    <w:rsid w:val="00104E94"/>
    <w:rsid w:val="001054BE"/>
    <w:rsid w:val="00105654"/>
    <w:rsid w:val="00105B86"/>
    <w:rsid w:val="001062E1"/>
    <w:rsid w:val="001068D2"/>
    <w:rsid w:val="001069F2"/>
    <w:rsid w:val="00107264"/>
    <w:rsid w:val="0010734C"/>
    <w:rsid w:val="0010737D"/>
    <w:rsid w:val="00107741"/>
    <w:rsid w:val="00107CE6"/>
    <w:rsid w:val="0011014A"/>
    <w:rsid w:val="00110167"/>
    <w:rsid w:val="001102F2"/>
    <w:rsid w:val="001103BD"/>
    <w:rsid w:val="001105AD"/>
    <w:rsid w:val="001105CF"/>
    <w:rsid w:val="0011088D"/>
    <w:rsid w:val="00110A78"/>
    <w:rsid w:val="00110B4C"/>
    <w:rsid w:val="00111183"/>
    <w:rsid w:val="001111AE"/>
    <w:rsid w:val="00111208"/>
    <w:rsid w:val="00111260"/>
    <w:rsid w:val="0011133D"/>
    <w:rsid w:val="001114CB"/>
    <w:rsid w:val="001114D2"/>
    <w:rsid w:val="001114EB"/>
    <w:rsid w:val="001115E4"/>
    <w:rsid w:val="00111808"/>
    <w:rsid w:val="00111DDA"/>
    <w:rsid w:val="00112220"/>
    <w:rsid w:val="0011279C"/>
    <w:rsid w:val="00112AD4"/>
    <w:rsid w:val="00112B6A"/>
    <w:rsid w:val="00112BA0"/>
    <w:rsid w:val="00112C6F"/>
    <w:rsid w:val="00112C9A"/>
    <w:rsid w:val="00112E7E"/>
    <w:rsid w:val="00112ED3"/>
    <w:rsid w:val="00113144"/>
    <w:rsid w:val="00113216"/>
    <w:rsid w:val="0011339F"/>
    <w:rsid w:val="001138B7"/>
    <w:rsid w:val="001138DE"/>
    <w:rsid w:val="00113B8F"/>
    <w:rsid w:val="00113BB7"/>
    <w:rsid w:val="00113EC8"/>
    <w:rsid w:val="00113FE9"/>
    <w:rsid w:val="001145BE"/>
    <w:rsid w:val="001148C9"/>
    <w:rsid w:val="001148E1"/>
    <w:rsid w:val="00114A50"/>
    <w:rsid w:val="00114D70"/>
    <w:rsid w:val="00114E36"/>
    <w:rsid w:val="00114E8B"/>
    <w:rsid w:val="00114E96"/>
    <w:rsid w:val="001151B6"/>
    <w:rsid w:val="001152C7"/>
    <w:rsid w:val="00115589"/>
    <w:rsid w:val="00115899"/>
    <w:rsid w:val="00115C88"/>
    <w:rsid w:val="001160FD"/>
    <w:rsid w:val="001161A1"/>
    <w:rsid w:val="0011644A"/>
    <w:rsid w:val="0011684D"/>
    <w:rsid w:val="0011687A"/>
    <w:rsid w:val="00116A0B"/>
    <w:rsid w:val="00116B55"/>
    <w:rsid w:val="00116E84"/>
    <w:rsid w:val="00117077"/>
    <w:rsid w:val="00117108"/>
    <w:rsid w:val="00117332"/>
    <w:rsid w:val="0011784B"/>
    <w:rsid w:val="00117C8C"/>
    <w:rsid w:val="00117E52"/>
    <w:rsid w:val="001204DD"/>
    <w:rsid w:val="00120B3E"/>
    <w:rsid w:val="00121846"/>
    <w:rsid w:val="00121909"/>
    <w:rsid w:val="00121A33"/>
    <w:rsid w:val="00121DB3"/>
    <w:rsid w:val="0012234F"/>
    <w:rsid w:val="001223CA"/>
    <w:rsid w:val="00122839"/>
    <w:rsid w:val="00122A42"/>
    <w:rsid w:val="00122B68"/>
    <w:rsid w:val="00123145"/>
    <w:rsid w:val="001232D4"/>
    <w:rsid w:val="00123416"/>
    <w:rsid w:val="001237AC"/>
    <w:rsid w:val="001237EF"/>
    <w:rsid w:val="001239D2"/>
    <w:rsid w:val="00123F22"/>
    <w:rsid w:val="00124121"/>
    <w:rsid w:val="00124390"/>
    <w:rsid w:val="00124485"/>
    <w:rsid w:val="00124E12"/>
    <w:rsid w:val="00124E75"/>
    <w:rsid w:val="00124F5D"/>
    <w:rsid w:val="00125825"/>
    <w:rsid w:val="00125C7A"/>
    <w:rsid w:val="001260C5"/>
    <w:rsid w:val="001261B3"/>
    <w:rsid w:val="001262A4"/>
    <w:rsid w:val="001262CD"/>
    <w:rsid w:val="0012673D"/>
    <w:rsid w:val="001269B8"/>
    <w:rsid w:val="00127099"/>
    <w:rsid w:val="00127206"/>
    <w:rsid w:val="00127E23"/>
    <w:rsid w:val="001302BC"/>
    <w:rsid w:val="001305EA"/>
    <w:rsid w:val="001306E5"/>
    <w:rsid w:val="00130CD7"/>
    <w:rsid w:val="00131255"/>
    <w:rsid w:val="00131795"/>
    <w:rsid w:val="00131EC5"/>
    <w:rsid w:val="001321D0"/>
    <w:rsid w:val="00132262"/>
    <w:rsid w:val="001325D7"/>
    <w:rsid w:val="0013269F"/>
    <w:rsid w:val="00132830"/>
    <w:rsid w:val="00132B71"/>
    <w:rsid w:val="00132E10"/>
    <w:rsid w:val="00132ED4"/>
    <w:rsid w:val="00132F87"/>
    <w:rsid w:val="00133041"/>
    <w:rsid w:val="001334A7"/>
    <w:rsid w:val="00133661"/>
    <w:rsid w:val="001337A5"/>
    <w:rsid w:val="00133828"/>
    <w:rsid w:val="001339D5"/>
    <w:rsid w:val="001341B5"/>
    <w:rsid w:val="0013427A"/>
    <w:rsid w:val="001348FE"/>
    <w:rsid w:val="00134A9D"/>
    <w:rsid w:val="00134B36"/>
    <w:rsid w:val="00134D55"/>
    <w:rsid w:val="00135248"/>
    <w:rsid w:val="0013532A"/>
    <w:rsid w:val="0013551F"/>
    <w:rsid w:val="001355C7"/>
    <w:rsid w:val="00135992"/>
    <w:rsid w:val="001359A9"/>
    <w:rsid w:val="001360F3"/>
    <w:rsid w:val="001362C2"/>
    <w:rsid w:val="0013678C"/>
    <w:rsid w:val="0013686A"/>
    <w:rsid w:val="00136955"/>
    <w:rsid w:val="00136E19"/>
    <w:rsid w:val="00136FF6"/>
    <w:rsid w:val="001371B2"/>
    <w:rsid w:val="0013734B"/>
    <w:rsid w:val="001374FB"/>
    <w:rsid w:val="00137A13"/>
    <w:rsid w:val="00137AB9"/>
    <w:rsid w:val="00137C67"/>
    <w:rsid w:val="00137D78"/>
    <w:rsid w:val="0014060C"/>
    <w:rsid w:val="00140934"/>
    <w:rsid w:val="001409A0"/>
    <w:rsid w:val="00140CBB"/>
    <w:rsid w:val="00141046"/>
    <w:rsid w:val="00141489"/>
    <w:rsid w:val="001419E5"/>
    <w:rsid w:val="00141D9A"/>
    <w:rsid w:val="00141E40"/>
    <w:rsid w:val="00141F08"/>
    <w:rsid w:val="00141FF2"/>
    <w:rsid w:val="00142222"/>
    <w:rsid w:val="00142279"/>
    <w:rsid w:val="001423B8"/>
    <w:rsid w:val="0014287A"/>
    <w:rsid w:val="00142C1E"/>
    <w:rsid w:val="00142DE2"/>
    <w:rsid w:val="001434E2"/>
    <w:rsid w:val="001437F1"/>
    <w:rsid w:val="00143BB8"/>
    <w:rsid w:val="00143BDA"/>
    <w:rsid w:val="00143D62"/>
    <w:rsid w:val="00143DAE"/>
    <w:rsid w:val="00143E10"/>
    <w:rsid w:val="00143EBF"/>
    <w:rsid w:val="00143ED3"/>
    <w:rsid w:val="00143FA7"/>
    <w:rsid w:val="001441DF"/>
    <w:rsid w:val="0014426C"/>
    <w:rsid w:val="001445DB"/>
    <w:rsid w:val="00144664"/>
    <w:rsid w:val="0014472A"/>
    <w:rsid w:val="00144C87"/>
    <w:rsid w:val="0014515E"/>
    <w:rsid w:val="001455C2"/>
    <w:rsid w:val="0014564A"/>
    <w:rsid w:val="0014571A"/>
    <w:rsid w:val="0014586A"/>
    <w:rsid w:val="00145B9B"/>
    <w:rsid w:val="00145D8F"/>
    <w:rsid w:val="00145DAE"/>
    <w:rsid w:val="00145E65"/>
    <w:rsid w:val="001467B1"/>
    <w:rsid w:val="001468B4"/>
    <w:rsid w:val="00146C62"/>
    <w:rsid w:val="00146CAA"/>
    <w:rsid w:val="001472CA"/>
    <w:rsid w:val="00147980"/>
    <w:rsid w:val="00147A5F"/>
    <w:rsid w:val="00147BA8"/>
    <w:rsid w:val="00150175"/>
    <w:rsid w:val="001502C8"/>
    <w:rsid w:val="001503EA"/>
    <w:rsid w:val="00150407"/>
    <w:rsid w:val="0015056A"/>
    <w:rsid w:val="00150B18"/>
    <w:rsid w:val="00150BB2"/>
    <w:rsid w:val="00150BEC"/>
    <w:rsid w:val="00150C5C"/>
    <w:rsid w:val="00150EDA"/>
    <w:rsid w:val="00151011"/>
    <w:rsid w:val="00151224"/>
    <w:rsid w:val="0015125F"/>
    <w:rsid w:val="00151309"/>
    <w:rsid w:val="0015130F"/>
    <w:rsid w:val="0015174A"/>
    <w:rsid w:val="00151933"/>
    <w:rsid w:val="00151D56"/>
    <w:rsid w:val="00152AE6"/>
    <w:rsid w:val="00152D31"/>
    <w:rsid w:val="001532BA"/>
    <w:rsid w:val="00153304"/>
    <w:rsid w:val="001533A5"/>
    <w:rsid w:val="00153453"/>
    <w:rsid w:val="00153543"/>
    <w:rsid w:val="001536E4"/>
    <w:rsid w:val="00153FED"/>
    <w:rsid w:val="00154328"/>
    <w:rsid w:val="001543BF"/>
    <w:rsid w:val="00154DC1"/>
    <w:rsid w:val="0015513F"/>
    <w:rsid w:val="0015545E"/>
    <w:rsid w:val="001556DC"/>
    <w:rsid w:val="00155862"/>
    <w:rsid w:val="001558D7"/>
    <w:rsid w:val="00155BFD"/>
    <w:rsid w:val="00155E52"/>
    <w:rsid w:val="00155E93"/>
    <w:rsid w:val="00156277"/>
    <w:rsid w:val="00156887"/>
    <w:rsid w:val="00156ABA"/>
    <w:rsid w:val="001570C5"/>
    <w:rsid w:val="00157390"/>
    <w:rsid w:val="00160441"/>
    <w:rsid w:val="0016062B"/>
    <w:rsid w:val="00160998"/>
    <w:rsid w:val="00160CD6"/>
    <w:rsid w:val="00160D5F"/>
    <w:rsid w:val="00160F5F"/>
    <w:rsid w:val="00161D5F"/>
    <w:rsid w:val="00161EBC"/>
    <w:rsid w:val="00162208"/>
    <w:rsid w:val="00162308"/>
    <w:rsid w:val="00162802"/>
    <w:rsid w:val="00162D56"/>
    <w:rsid w:val="00162E54"/>
    <w:rsid w:val="0016316A"/>
    <w:rsid w:val="0016318A"/>
    <w:rsid w:val="001634D5"/>
    <w:rsid w:val="00163539"/>
    <w:rsid w:val="0016381F"/>
    <w:rsid w:val="00163879"/>
    <w:rsid w:val="00163B01"/>
    <w:rsid w:val="00163BCF"/>
    <w:rsid w:val="00163CFB"/>
    <w:rsid w:val="00163D1D"/>
    <w:rsid w:val="00163F6E"/>
    <w:rsid w:val="0016411D"/>
    <w:rsid w:val="00164171"/>
    <w:rsid w:val="0016424B"/>
    <w:rsid w:val="00164458"/>
    <w:rsid w:val="00164533"/>
    <w:rsid w:val="00164740"/>
    <w:rsid w:val="001647B4"/>
    <w:rsid w:val="00164895"/>
    <w:rsid w:val="00164A0A"/>
    <w:rsid w:val="00164DE8"/>
    <w:rsid w:val="00164E58"/>
    <w:rsid w:val="00164EC9"/>
    <w:rsid w:val="00165033"/>
    <w:rsid w:val="0016583B"/>
    <w:rsid w:val="00165926"/>
    <w:rsid w:val="00165D6A"/>
    <w:rsid w:val="00165D76"/>
    <w:rsid w:val="00165F3C"/>
    <w:rsid w:val="001660C5"/>
    <w:rsid w:val="00166286"/>
    <w:rsid w:val="001665E8"/>
    <w:rsid w:val="001665EB"/>
    <w:rsid w:val="00166823"/>
    <w:rsid w:val="00166D74"/>
    <w:rsid w:val="001670EA"/>
    <w:rsid w:val="001674A0"/>
    <w:rsid w:val="001675E7"/>
    <w:rsid w:val="00167E06"/>
    <w:rsid w:val="0017020F"/>
    <w:rsid w:val="00170A50"/>
    <w:rsid w:val="00170C02"/>
    <w:rsid w:val="00171039"/>
    <w:rsid w:val="00171128"/>
    <w:rsid w:val="0017117F"/>
    <w:rsid w:val="00171CD5"/>
    <w:rsid w:val="00172268"/>
    <w:rsid w:val="00172396"/>
    <w:rsid w:val="00172397"/>
    <w:rsid w:val="0017247E"/>
    <w:rsid w:val="001724BF"/>
    <w:rsid w:val="0017297A"/>
    <w:rsid w:val="00172F6A"/>
    <w:rsid w:val="00172FEE"/>
    <w:rsid w:val="00173186"/>
    <w:rsid w:val="001731E2"/>
    <w:rsid w:val="00173A9D"/>
    <w:rsid w:val="00173F64"/>
    <w:rsid w:val="00174FFD"/>
    <w:rsid w:val="001754FF"/>
    <w:rsid w:val="00175612"/>
    <w:rsid w:val="00175738"/>
    <w:rsid w:val="001757E5"/>
    <w:rsid w:val="001759CA"/>
    <w:rsid w:val="00175A41"/>
    <w:rsid w:val="00175C2F"/>
    <w:rsid w:val="00175E33"/>
    <w:rsid w:val="0017639D"/>
    <w:rsid w:val="001764CC"/>
    <w:rsid w:val="00176954"/>
    <w:rsid w:val="0017725D"/>
    <w:rsid w:val="0017726A"/>
    <w:rsid w:val="00177285"/>
    <w:rsid w:val="001778DE"/>
    <w:rsid w:val="00177D3E"/>
    <w:rsid w:val="00177D76"/>
    <w:rsid w:val="00177DD3"/>
    <w:rsid w:val="00177DFD"/>
    <w:rsid w:val="00177E25"/>
    <w:rsid w:val="00177E39"/>
    <w:rsid w:val="00177F9F"/>
    <w:rsid w:val="001800A3"/>
    <w:rsid w:val="00180278"/>
    <w:rsid w:val="001806F5"/>
    <w:rsid w:val="001807F2"/>
    <w:rsid w:val="00181033"/>
    <w:rsid w:val="00181099"/>
    <w:rsid w:val="0018137A"/>
    <w:rsid w:val="00181431"/>
    <w:rsid w:val="001815F4"/>
    <w:rsid w:val="00181712"/>
    <w:rsid w:val="0018182C"/>
    <w:rsid w:val="001818A7"/>
    <w:rsid w:val="001818D5"/>
    <w:rsid w:val="00182725"/>
    <w:rsid w:val="0018293A"/>
    <w:rsid w:val="001829C8"/>
    <w:rsid w:val="00182BDD"/>
    <w:rsid w:val="00182CFA"/>
    <w:rsid w:val="00182D0C"/>
    <w:rsid w:val="00183628"/>
    <w:rsid w:val="00183A06"/>
    <w:rsid w:val="001841DB"/>
    <w:rsid w:val="0018423A"/>
    <w:rsid w:val="00184582"/>
    <w:rsid w:val="00184999"/>
    <w:rsid w:val="00184B09"/>
    <w:rsid w:val="00184D64"/>
    <w:rsid w:val="00185102"/>
    <w:rsid w:val="001851C4"/>
    <w:rsid w:val="001856C1"/>
    <w:rsid w:val="00185726"/>
    <w:rsid w:val="00185C41"/>
    <w:rsid w:val="00185D57"/>
    <w:rsid w:val="00185E36"/>
    <w:rsid w:val="001862F5"/>
    <w:rsid w:val="0018665C"/>
    <w:rsid w:val="0018683F"/>
    <w:rsid w:val="001868F2"/>
    <w:rsid w:val="00186904"/>
    <w:rsid w:val="00186A20"/>
    <w:rsid w:val="00186A60"/>
    <w:rsid w:val="00186B0A"/>
    <w:rsid w:val="001871E2"/>
    <w:rsid w:val="00187512"/>
    <w:rsid w:val="001875F3"/>
    <w:rsid w:val="00187978"/>
    <w:rsid w:val="00190348"/>
    <w:rsid w:val="001905BD"/>
    <w:rsid w:val="001906B9"/>
    <w:rsid w:val="001907F2"/>
    <w:rsid w:val="0019109A"/>
    <w:rsid w:val="001915C7"/>
    <w:rsid w:val="001919E9"/>
    <w:rsid w:val="00191A11"/>
    <w:rsid w:val="00191E79"/>
    <w:rsid w:val="00191FC9"/>
    <w:rsid w:val="00192FE6"/>
    <w:rsid w:val="00192FF2"/>
    <w:rsid w:val="0019302C"/>
    <w:rsid w:val="00193120"/>
    <w:rsid w:val="001935DB"/>
    <w:rsid w:val="0019360B"/>
    <w:rsid w:val="00193688"/>
    <w:rsid w:val="00193780"/>
    <w:rsid w:val="00193986"/>
    <w:rsid w:val="00193B08"/>
    <w:rsid w:val="00193DDC"/>
    <w:rsid w:val="00193E95"/>
    <w:rsid w:val="00194004"/>
    <w:rsid w:val="001940D1"/>
    <w:rsid w:val="001944EA"/>
    <w:rsid w:val="00194570"/>
    <w:rsid w:val="001946CE"/>
    <w:rsid w:val="00194938"/>
    <w:rsid w:val="00194946"/>
    <w:rsid w:val="00194A15"/>
    <w:rsid w:val="00194B7C"/>
    <w:rsid w:val="00194D46"/>
    <w:rsid w:val="0019520B"/>
    <w:rsid w:val="0019560B"/>
    <w:rsid w:val="001956F1"/>
    <w:rsid w:val="0019575C"/>
    <w:rsid w:val="001958E5"/>
    <w:rsid w:val="0019592B"/>
    <w:rsid w:val="00195A4D"/>
    <w:rsid w:val="00195B6C"/>
    <w:rsid w:val="00195B8F"/>
    <w:rsid w:val="00195EFA"/>
    <w:rsid w:val="001960C1"/>
    <w:rsid w:val="0019616F"/>
    <w:rsid w:val="00196176"/>
    <w:rsid w:val="001962C1"/>
    <w:rsid w:val="001967DE"/>
    <w:rsid w:val="00196BF4"/>
    <w:rsid w:val="001971D1"/>
    <w:rsid w:val="001972DA"/>
    <w:rsid w:val="001972EF"/>
    <w:rsid w:val="001976AA"/>
    <w:rsid w:val="0019794C"/>
    <w:rsid w:val="001A0136"/>
    <w:rsid w:val="001A023D"/>
    <w:rsid w:val="001A02F6"/>
    <w:rsid w:val="001A04C1"/>
    <w:rsid w:val="001A0835"/>
    <w:rsid w:val="001A08EC"/>
    <w:rsid w:val="001A0B4C"/>
    <w:rsid w:val="001A0C1D"/>
    <w:rsid w:val="001A0C63"/>
    <w:rsid w:val="001A115C"/>
    <w:rsid w:val="001A154B"/>
    <w:rsid w:val="001A158A"/>
    <w:rsid w:val="001A15C6"/>
    <w:rsid w:val="001A17A0"/>
    <w:rsid w:val="001A22DF"/>
    <w:rsid w:val="001A2533"/>
    <w:rsid w:val="001A2666"/>
    <w:rsid w:val="001A277D"/>
    <w:rsid w:val="001A32B9"/>
    <w:rsid w:val="001A335B"/>
    <w:rsid w:val="001A336C"/>
    <w:rsid w:val="001A371C"/>
    <w:rsid w:val="001A3E1A"/>
    <w:rsid w:val="001A437B"/>
    <w:rsid w:val="001A4608"/>
    <w:rsid w:val="001A49FD"/>
    <w:rsid w:val="001A4F2B"/>
    <w:rsid w:val="001A4F54"/>
    <w:rsid w:val="001A501A"/>
    <w:rsid w:val="001A5510"/>
    <w:rsid w:val="001A5BB8"/>
    <w:rsid w:val="001A5C7B"/>
    <w:rsid w:val="001A5E19"/>
    <w:rsid w:val="001A5E57"/>
    <w:rsid w:val="001A63D8"/>
    <w:rsid w:val="001A693B"/>
    <w:rsid w:val="001A6AE0"/>
    <w:rsid w:val="001A6DEB"/>
    <w:rsid w:val="001A7061"/>
    <w:rsid w:val="001A7560"/>
    <w:rsid w:val="001A758B"/>
    <w:rsid w:val="001A78D5"/>
    <w:rsid w:val="001A7E0E"/>
    <w:rsid w:val="001B0108"/>
    <w:rsid w:val="001B01FA"/>
    <w:rsid w:val="001B0230"/>
    <w:rsid w:val="001B0400"/>
    <w:rsid w:val="001B06AE"/>
    <w:rsid w:val="001B0832"/>
    <w:rsid w:val="001B08FB"/>
    <w:rsid w:val="001B0940"/>
    <w:rsid w:val="001B0BD1"/>
    <w:rsid w:val="001B0C13"/>
    <w:rsid w:val="001B0EBC"/>
    <w:rsid w:val="001B18A7"/>
    <w:rsid w:val="001B1EE8"/>
    <w:rsid w:val="001B2554"/>
    <w:rsid w:val="001B264F"/>
    <w:rsid w:val="001B26ED"/>
    <w:rsid w:val="001B2762"/>
    <w:rsid w:val="001B284F"/>
    <w:rsid w:val="001B296D"/>
    <w:rsid w:val="001B301D"/>
    <w:rsid w:val="001B309C"/>
    <w:rsid w:val="001B34E0"/>
    <w:rsid w:val="001B352C"/>
    <w:rsid w:val="001B36FC"/>
    <w:rsid w:val="001B383F"/>
    <w:rsid w:val="001B38EE"/>
    <w:rsid w:val="001B41ED"/>
    <w:rsid w:val="001B44BE"/>
    <w:rsid w:val="001B4607"/>
    <w:rsid w:val="001B4F51"/>
    <w:rsid w:val="001B5262"/>
    <w:rsid w:val="001B5D4D"/>
    <w:rsid w:val="001B60C8"/>
    <w:rsid w:val="001B6C1A"/>
    <w:rsid w:val="001B6DDF"/>
    <w:rsid w:val="001B6E8B"/>
    <w:rsid w:val="001B72AA"/>
    <w:rsid w:val="001B7BEF"/>
    <w:rsid w:val="001B7E0C"/>
    <w:rsid w:val="001B7E4E"/>
    <w:rsid w:val="001B7F56"/>
    <w:rsid w:val="001C0129"/>
    <w:rsid w:val="001C02E3"/>
    <w:rsid w:val="001C05AC"/>
    <w:rsid w:val="001C05C8"/>
    <w:rsid w:val="001C0674"/>
    <w:rsid w:val="001C0E61"/>
    <w:rsid w:val="001C112E"/>
    <w:rsid w:val="001C13B2"/>
    <w:rsid w:val="001C1405"/>
    <w:rsid w:val="001C1499"/>
    <w:rsid w:val="001C18DB"/>
    <w:rsid w:val="001C1B93"/>
    <w:rsid w:val="001C226F"/>
    <w:rsid w:val="001C2792"/>
    <w:rsid w:val="001C2AAF"/>
    <w:rsid w:val="001C2B2B"/>
    <w:rsid w:val="001C2C92"/>
    <w:rsid w:val="001C2EC3"/>
    <w:rsid w:val="001C3388"/>
    <w:rsid w:val="001C3BAA"/>
    <w:rsid w:val="001C3C73"/>
    <w:rsid w:val="001C43E2"/>
    <w:rsid w:val="001C45DE"/>
    <w:rsid w:val="001C4D43"/>
    <w:rsid w:val="001C5296"/>
    <w:rsid w:val="001C589C"/>
    <w:rsid w:val="001C5F41"/>
    <w:rsid w:val="001C63BD"/>
    <w:rsid w:val="001C65EA"/>
    <w:rsid w:val="001C66AC"/>
    <w:rsid w:val="001C6754"/>
    <w:rsid w:val="001C6758"/>
    <w:rsid w:val="001C67F3"/>
    <w:rsid w:val="001C6C24"/>
    <w:rsid w:val="001C6DDA"/>
    <w:rsid w:val="001C6E40"/>
    <w:rsid w:val="001C7307"/>
    <w:rsid w:val="001C73B6"/>
    <w:rsid w:val="001C73F4"/>
    <w:rsid w:val="001C7493"/>
    <w:rsid w:val="001C77F0"/>
    <w:rsid w:val="001D04D0"/>
    <w:rsid w:val="001D0966"/>
    <w:rsid w:val="001D0C0A"/>
    <w:rsid w:val="001D114D"/>
    <w:rsid w:val="001D172A"/>
    <w:rsid w:val="001D1B43"/>
    <w:rsid w:val="001D2943"/>
    <w:rsid w:val="001D3019"/>
    <w:rsid w:val="001D30C9"/>
    <w:rsid w:val="001D3A5C"/>
    <w:rsid w:val="001D3B3D"/>
    <w:rsid w:val="001D3CBD"/>
    <w:rsid w:val="001D3DCB"/>
    <w:rsid w:val="001D3EDE"/>
    <w:rsid w:val="001D3FC8"/>
    <w:rsid w:val="001D4399"/>
    <w:rsid w:val="001D445B"/>
    <w:rsid w:val="001D4542"/>
    <w:rsid w:val="001D46A0"/>
    <w:rsid w:val="001D48E7"/>
    <w:rsid w:val="001D4A87"/>
    <w:rsid w:val="001D4B9A"/>
    <w:rsid w:val="001D4C94"/>
    <w:rsid w:val="001D4DA0"/>
    <w:rsid w:val="001D4F61"/>
    <w:rsid w:val="001D50C2"/>
    <w:rsid w:val="001D5513"/>
    <w:rsid w:val="001D55E4"/>
    <w:rsid w:val="001D5D67"/>
    <w:rsid w:val="001D5DDC"/>
    <w:rsid w:val="001D5F42"/>
    <w:rsid w:val="001D5FF5"/>
    <w:rsid w:val="001D6523"/>
    <w:rsid w:val="001D65A7"/>
    <w:rsid w:val="001D661A"/>
    <w:rsid w:val="001D6B44"/>
    <w:rsid w:val="001D74D1"/>
    <w:rsid w:val="001D753C"/>
    <w:rsid w:val="001D7818"/>
    <w:rsid w:val="001D7CA4"/>
    <w:rsid w:val="001D7E58"/>
    <w:rsid w:val="001D7FF7"/>
    <w:rsid w:val="001E0425"/>
    <w:rsid w:val="001E04EE"/>
    <w:rsid w:val="001E06DA"/>
    <w:rsid w:val="001E07D7"/>
    <w:rsid w:val="001E0DD9"/>
    <w:rsid w:val="001E0E41"/>
    <w:rsid w:val="001E0E83"/>
    <w:rsid w:val="001E114F"/>
    <w:rsid w:val="001E13B3"/>
    <w:rsid w:val="001E1B07"/>
    <w:rsid w:val="001E1C85"/>
    <w:rsid w:val="001E2261"/>
    <w:rsid w:val="001E2C38"/>
    <w:rsid w:val="001E2DC2"/>
    <w:rsid w:val="001E30A0"/>
    <w:rsid w:val="001E33CD"/>
    <w:rsid w:val="001E3BC0"/>
    <w:rsid w:val="001E3DE1"/>
    <w:rsid w:val="001E3EA4"/>
    <w:rsid w:val="001E3EBB"/>
    <w:rsid w:val="001E4566"/>
    <w:rsid w:val="001E487D"/>
    <w:rsid w:val="001E4B23"/>
    <w:rsid w:val="001E4D4F"/>
    <w:rsid w:val="001E4F57"/>
    <w:rsid w:val="001E54E1"/>
    <w:rsid w:val="001E54F9"/>
    <w:rsid w:val="001E5691"/>
    <w:rsid w:val="001E57CF"/>
    <w:rsid w:val="001E5981"/>
    <w:rsid w:val="001E5C22"/>
    <w:rsid w:val="001E5CC2"/>
    <w:rsid w:val="001E5D31"/>
    <w:rsid w:val="001E60D2"/>
    <w:rsid w:val="001E6117"/>
    <w:rsid w:val="001E6826"/>
    <w:rsid w:val="001E687C"/>
    <w:rsid w:val="001E6A5D"/>
    <w:rsid w:val="001E6E8E"/>
    <w:rsid w:val="001E7186"/>
    <w:rsid w:val="001E718B"/>
    <w:rsid w:val="001E71CB"/>
    <w:rsid w:val="001E746E"/>
    <w:rsid w:val="001E74BA"/>
    <w:rsid w:val="001E7B9F"/>
    <w:rsid w:val="001E7F10"/>
    <w:rsid w:val="001E7F13"/>
    <w:rsid w:val="001F0080"/>
    <w:rsid w:val="001F00A4"/>
    <w:rsid w:val="001F01FB"/>
    <w:rsid w:val="001F0282"/>
    <w:rsid w:val="001F02A6"/>
    <w:rsid w:val="001F0658"/>
    <w:rsid w:val="001F0C29"/>
    <w:rsid w:val="001F0E92"/>
    <w:rsid w:val="001F1694"/>
    <w:rsid w:val="001F1762"/>
    <w:rsid w:val="001F1987"/>
    <w:rsid w:val="001F1D9E"/>
    <w:rsid w:val="001F201D"/>
    <w:rsid w:val="001F216D"/>
    <w:rsid w:val="001F21BC"/>
    <w:rsid w:val="001F2211"/>
    <w:rsid w:val="001F22D5"/>
    <w:rsid w:val="001F23BD"/>
    <w:rsid w:val="001F2674"/>
    <w:rsid w:val="001F271F"/>
    <w:rsid w:val="001F3159"/>
    <w:rsid w:val="001F34DA"/>
    <w:rsid w:val="001F358A"/>
    <w:rsid w:val="001F3AFA"/>
    <w:rsid w:val="001F3C3B"/>
    <w:rsid w:val="001F3E12"/>
    <w:rsid w:val="001F3E5B"/>
    <w:rsid w:val="001F400C"/>
    <w:rsid w:val="001F4361"/>
    <w:rsid w:val="001F446F"/>
    <w:rsid w:val="001F4614"/>
    <w:rsid w:val="001F48A4"/>
    <w:rsid w:val="001F49AA"/>
    <w:rsid w:val="001F4DAC"/>
    <w:rsid w:val="001F4DB4"/>
    <w:rsid w:val="001F5019"/>
    <w:rsid w:val="001F51C5"/>
    <w:rsid w:val="001F5228"/>
    <w:rsid w:val="001F53A9"/>
    <w:rsid w:val="001F557E"/>
    <w:rsid w:val="001F5CB9"/>
    <w:rsid w:val="001F5DA7"/>
    <w:rsid w:val="001F65B0"/>
    <w:rsid w:val="001F67AA"/>
    <w:rsid w:val="001F6862"/>
    <w:rsid w:val="001F6A5E"/>
    <w:rsid w:val="001F6A9E"/>
    <w:rsid w:val="001F6AFD"/>
    <w:rsid w:val="001F6FBA"/>
    <w:rsid w:val="001F7040"/>
    <w:rsid w:val="001F738D"/>
    <w:rsid w:val="001F7599"/>
    <w:rsid w:val="001F7659"/>
    <w:rsid w:val="001F776A"/>
    <w:rsid w:val="001F7F34"/>
    <w:rsid w:val="00200561"/>
    <w:rsid w:val="002008CE"/>
    <w:rsid w:val="00200B80"/>
    <w:rsid w:val="00200C3F"/>
    <w:rsid w:val="00200F2C"/>
    <w:rsid w:val="00201028"/>
    <w:rsid w:val="002012F7"/>
    <w:rsid w:val="0020184B"/>
    <w:rsid w:val="00201C45"/>
    <w:rsid w:val="00201D49"/>
    <w:rsid w:val="00201DFA"/>
    <w:rsid w:val="002025D0"/>
    <w:rsid w:val="00202A39"/>
    <w:rsid w:val="00203168"/>
    <w:rsid w:val="00203588"/>
    <w:rsid w:val="00203B2D"/>
    <w:rsid w:val="00203D94"/>
    <w:rsid w:val="00204402"/>
    <w:rsid w:val="00204A2A"/>
    <w:rsid w:val="00204B22"/>
    <w:rsid w:val="00204B3A"/>
    <w:rsid w:val="00204B4B"/>
    <w:rsid w:val="00204DAD"/>
    <w:rsid w:val="002051FB"/>
    <w:rsid w:val="0020535A"/>
    <w:rsid w:val="00205361"/>
    <w:rsid w:val="0020537E"/>
    <w:rsid w:val="002055CB"/>
    <w:rsid w:val="00205807"/>
    <w:rsid w:val="002058ED"/>
    <w:rsid w:val="002059EF"/>
    <w:rsid w:val="00205A4B"/>
    <w:rsid w:val="00205B04"/>
    <w:rsid w:val="00205BDB"/>
    <w:rsid w:val="00206147"/>
    <w:rsid w:val="002062BF"/>
    <w:rsid w:val="0020668A"/>
    <w:rsid w:val="00206868"/>
    <w:rsid w:val="00206955"/>
    <w:rsid w:val="00206A79"/>
    <w:rsid w:val="00206C3B"/>
    <w:rsid w:val="00207096"/>
    <w:rsid w:val="0020743F"/>
    <w:rsid w:val="00207686"/>
    <w:rsid w:val="002079E5"/>
    <w:rsid w:val="00207E05"/>
    <w:rsid w:val="00207E0C"/>
    <w:rsid w:val="0021016D"/>
    <w:rsid w:val="00210231"/>
    <w:rsid w:val="0021025A"/>
    <w:rsid w:val="00210309"/>
    <w:rsid w:val="00210392"/>
    <w:rsid w:val="002103D2"/>
    <w:rsid w:val="0021065B"/>
    <w:rsid w:val="00210D3E"/>
    <w:rsid w:val="00210FB2"/>
    <w:rsid w:val="00211298"/>
    <w:rsid w:val="00211519"/>
    <w:rsid w:val="002117D0"/>
    <w:rsid w:val="00211A2F"/>
    <w:rsid w:val="0021224B"/>
    <w:rsid w:val="002128E3"/>
    <w:rsid w:val="00212950"/>
    <w:rsid w:val="00212E52"/>
    <w:rsid w:val="00212F78"/>
    <w:rsid w:val="00212FB8"/>
    <w:rsid w:val="00212FC4"/>
    <w:rsid w:val="002132F5"/>
    <w:rsid w:val="0021333A"/>
    <w:rsid w:val="00213561"/>
    <w:rsid w:val="002135CA"/>
    <w:rsid w:val="0021368F"/>
    <w:rsid w:val="00213709"/>
    <w:rsid w:val="002137C0"/>
    <w:rsid w:val="00213C46"/>
    <w:rsid w:val="00213D6A"/>
    <w:rsid w:val="00213E1F"/>
    <w:rsid w:val="00213F31"/>
    <w:rsid w:val="0021401A"/>
    <w:rsid w:val="00214113"/>
    <w:rsid w:val="00214200"/>
    <w:rsid w:val="00214363"/>
    <w:rsid w:val="0021461D"/>
    <w:rsid w:val="002149AF"/>
    <w:rsid w:val="00214A86"/>
    <w:rsid w:val="00214C8E"/>
    <w:rsid w:val="00214F9A"/>
    <w:rsid w:val="00214FE2"/>
    <w:rsid w:val="002151C1"/>
    <w:rsid w:val="0021525D"/>
    <w:rsid w:val="002155E6"/>
    <w:rsid w:val="00215664"/>
    <w:rsid w:val="00215771"/>
    <w:rsid w:val="002158FF"/>
    <w:rsid w:val="00215AAA"/>
    <w:rsid w:val="00216035"/>
    <w:rsid w:val="0021623B"/>
    <w:rsid w:val="00216372"/>
    <w:rsid w:val="0021653A"/>
    <w:rsid w:val="00216588"/>
    <w:rsid w:val="0021683C"/>
    <w:rsid w:val="00216B05"/>
    <w:rsid w:val="00216B87"/>
    <w:rsid w:val="00216E0A"/>
    <w:rsid w:val="00216F5F"/>
    <w:rsid w:val="0021716B"/>
    <w:rsid w:val="00217540"/>
    <w:rsid w:val="0021754C"/>
    <w:rsid w:val="00217FEB"/>
    <w:rsid w:val="00220019"/>
    <w:rsid w:val="00220299"/>
    <w:rsid w:val="002205C1"/>
    <w:rsid w:val="00220615"/>
    <w:rsid w:val="00220A32"/>
    <w:rsid w:val="00220B4F"/>
    <w:rsid w:val="00220B7C"/>
    <w:rsid w:val="00220E60"/>
    <w:rsid w:val="002210D9"/>
    <w:rsid w:val="002214B1"/>
    <w:rsid w:val="002215F2"/>
    <w:rsid w:val="0022161E"/>
    <w:rsid w:val="00221985"/>
    <w:rsid w:val="002219B7"/>
    <w:rsid w:val="002219DD"/>
    <w:rsid w:val="00221BB8"/>
    <w:rsid w:val="00221BBB"/>
    <w:rsid w:val="00221DF6"/>
    <w:rsid w:val="00221E1C"/>
    <w:rsid w:val="00221EC5"/>
    <w:rsid w:val="00221FEC"/>
    <w:rsid w:val="002223B2"/>
    <w:rsid w:val="002224C1"/>
    <w:rsid w:val="002225E7"/>
    <w:rsid w:val="002229B5"/>
    <w:rsid w:val="00222A7A"/>
    <w:rsid w:val="00222ADC"/>
    <w:rsid w:val="002231B8"/>
    <w:rsid w:val="00223794"/>
    <w:rsid w:val="00223944"/>
    <w:rsid w:val="00223A19"/>
    <w:rsid w:val="00223A5D"/>
    <w:rsid w:val="00223BC1"/>
    <w:rsid w:val="00223E02"/>
    <w:rsid w:val="00223E3E"/>
    <w:rsid w:val="00224149"/>
    <w:rsid w:val="00224360"/>
    <w:rsid w:val="002245C7"/>
    <w:rsid w:val="00224773"/>
    <w:rsid w:val="00224A2C"/>
    <w:rsid w:val="00224D5F"/>
    <w:rsid w:val="00224E0A"/>
    <w:rsid w:val="00225194"/>
    <w:rsid w:val="00225217"/>
    <w:rsid w:val="002254F1"/>
    <w:rsid w:val="002255CF"/>
    <w:rsid w:val="002256D9"/>
    <w:rsid w:val="00225802"/>
    <w:rsid w:val="002261C5"/>
    <w:rsid w:val="00226498"/>
    <w:rsid w:val="00226577"/>
    <w:rsid w:val="0022658C"/>
    <w:rsid w:val="002265C7"/>
    <w:rsid w:val="0022670B"/>
    <w:rsid w:val="0022687C"/>
    <w:rsid w:val="002275D4"/>
    <w:rsid w:val="00227710"/>
    <w:rsid w:val="00227893"/>
    <w:rsid w:val="00227A91"/>
    <w:rsid w:val="00227BBC"/>
    <w:rsid w:val="00227E6C"/>
    <w:rsid w:val="00227E92"/>
    <w:rsid w:val="00227F3E"/>
    <w:rsid w:val="002306CB"/>
    <w:rsid w:val="002306F8"/>
    <w:rsid w:val="002308CC"/>
    <w:rsid w:val="00230D52"/>
    <w:rsid w:val="002312F4"/>
    <w:rsid w:val="002313A2"/>
    <w:rsid w:val="002313FE"/>
    <w:rsid w:val="0023186D"/>
    <w:rsid w:val="00231898"/>
    <w:rsid w:val="0023192C"/>
    <w:rsid w:val="00231C50"/>
    <w:rsid w:val="00231CD4"/>
    <w:rsid w:val="00231DD8"/>
    <w:rsid w:val="00231FC7"/>
    <w:rsid w:val="0023243A"/>
    <w:rsid w:val="00232462"/>
    <w:rsid w:val="0023263E"/>
    <w:rsid w:val="00232849"/>
    <w:rsid w:val="00232930"/>
    <w:rsid w:val="00232A95"/>
    <w:rsid w:val="00232B1E"/>
    <w:rsid w:val="00232C3F"/>
    <w:rsid w:val="00232C9A"/>
    <w:rsid w:val="00232DD9"/>
    <w:rsid w:val="00232EE4"/>
    <w:rsid w:val="0023308F"/>
    <w:rsid w:val="00233403"/>
    <w:rsid w:val="00233440"/>
    <w:rsid w:val="00233889"/>
    <w:rsid w:val="00233D0E"/>
    <w:rsid w:val="00233E64"/>
    <w:rsid w:val="00234043"/>
    <w:rsid w:val="002341D8"/>
    <w:rsid w:val="002345CD"/>
    <w:rsid w:val="002347A0"/>
    <w:rsid w:val="002349C4"/>
    <w:rsid w:val="00234E13"/>
    <w:rsid w:val="0023538E"/>
    <w:rsid w:val="00235738"/>
    <w:rsid w:val="00235916"/>
    <w:rsid w:val="00235C7D"/>
    <w:rsid w:val="00235DB8"/>
    <w:rsid w:val="00235DDB"/>
    <w:rsid w:val="00236048"/>
    <w:rsid w:val="00236387"/>
    <w:rsid w:val="00236450"/>
    <w:rsid w:val="00236456"/>
    <w:rsid w:val="00236825"/>
    <w:rsid w:val="00236EBA"/>
    <w:rsid w:val="00237255"/>
    <w:rsid w:val="002375C5"/>
    <w:rsid w:val="002375D2"/>
    <w:rsid w:val="0023765A"/>
    <w:rsid w:val="00237921"/>
    <w:rsid w:val="00237B2B"/>
    <w:rsid w:val="00237BBB"/>
    <w:rsid w:val="00240057"/>
    <w:rsid w:val="002400C4"/>
    <w:rsid w:val="00240342"/>
    <w:rsid w:val="00240531"/>
    <w:rsid w:val="00240896"/>
    <w:rsid w:val="002408B4"/>
    <w:rsid w:val="00240A64"/>
    <w:rsid w:val="00240E68"/>
    <w:rsid w:val="00240EFB"/>
    <w:rsid w:val="00240FB2"/>
    <w:rsid w:val="00241311"/>
    <w:rsid w:val="002413F2"/>
    <w:rsid w:val="002418E8"/>
    <w:rsid w:val="00241C51"/>
    <w:rsid w:val="00242451"/>
    <w:rsid w:val="002424DD"/>
    <w:rsid w:val="002426C5"/>
    <w:rsid w:val="00242999"/>
    <w:rsid w:val="00242CF6"/>
    <w:rsid w:val="00242E22"/>
    <w:rsid w:val="00243128"/>
    <w:rsid w:val="0024327F"/>
    <w:rsid w:val="0024336B"/>
    <w:rsid w:val="00243482"/>
    <w:rsid w:val="002434DE"/>
    <w:rsid w:val="0024392B"/>
    <w:rsid w:val="00243A67"/>
    <w:rsid w:val="00243F11"/>
    <w:rsid w:val="0024404D"/>
    <w:rsid w:val="00244137"/>
    <w:rsid w:val="00244194"/>
    <w:rsid w:val="0024424F"/>
    <w:rsid w:val="00244569"/>
    <w:rsid w:val="00244C6D"/>
    <w:rsid w:val="00244D28"/>
    <w:rsid w:val="00244F08"/>
    <w:rsid w:val="00245689"/>
    <w:rsid w:val="00245720"/>
    <w:rsid w:val="00245A6F"/>
    <w:rsid w:val="00245A83"/>
    <w:rsid w:val="00245E5F"/>
    <w:rsid w:val="00245FD5"/>
    <w:rsid w:val="00246116"/>
    <w:rsid w:val="0024624C"/>
    <w:rsid w:val="0024672A"/>
    <w:rsid w:val="00246CED"/>
    <w:rsid w:val="00246DD6"/>
    <w:rsid w:val="00246FED"/>
    <w:rsid w:val="00247049"/>
    <w:rsid w:val="002473EA"/>
    <w:rsid w:val="002477DF"/>
    <w:rsid w:val="0024789C"/>
    <w:rsid w:val="002478EE"/>
    <w:rsid w:val="00250318"/>
    <w:rsid w:val="0025037F"/>
    <w:rsid w:val="002506D7"/>
    <w:rsid w:val="00250D97"/>
    <w:rsid w:val="00250FD3"/>
    <w:rsid w:val="0025126A"/>
    <w:rsid w:val="002512DB"/>
    <w:rsid w:val="0025167D"/>
    <w:rsid w:val="002517D1"/>
    <w:rsid w:val="002518AE"/>
    <w:rsid w:val="00251AD6"/>
    <w:rsid w:val="00251E41"/>
    <w:rsid w:val="00251E73"/>
    <w:rsid w:val="00252386"/>
    <w:rsid w:val="002527B3"/>
    <w:rsid w:val="00252816"/>
    <w:rsid w:val="00252C17"/>
    <w:rsid w:val="00252E79"/>
    <w:rsid w:val="00252F04"/>
    <w:rsid w:val="0025305F"/>
    <w:rsid w:val="0025307F"/>
    <w:rsid w:val="00253328"/>
    <w:rsid w:val="00253947"/>
    <w:rsid w:val="002541A2"/>
    <w:rsid w:val="002542E3"/>
    <w:rsid w:val="00254497"/>
    <w:rsid w:val="002549B3"/>
    <w:rsid w:val="00254AB7"/>
    <w:rsid w:val="00254BC2"/>
    <w:rsid w:val="00254BC3"/>
    <w:rsid w:val="00254FC7"/>
    <w:rsid w:val="00255146"/>
    <w:rsid w:val="002551BD"/>
    <w:rsid w:val="0025525D"/>
    <w:rsid w:val="002554BD"/>
    <w:rsid w:val="00255505"/>
    <w:rsid w:val="0025556C"/>
    <w:rsid w:val="0025561B"/>
    <w:rsid w:val="00255707"/>
    <w:rsid w:val="00255DCE"/>
    <w:rsid w:val="00255DF4"/>
    <w:rsid w:val="00255E2A"/>
    <w:rsid w:val="002562A4"/>
    <w:rsid w:val="002562B3"/>
    <w:rsid w:val="002562DA"/>
    <w:rsid w:val="002562EA"/>
    <w:rsid w:val="002563B5"/>
    <w:rsid w:val="0025675E"/>
    <w:rsid w:val="0025679E"/>
    <w:rsid w:val="002568D0"/>
    <w:rsid w:val="00256ADA"/>
    <w:rsid w:val="00256D17"/>
    <w:rsid w:val="00256E74"/>
    <w:rsid w:val="00256FC1"/>
    <w:rsid w:val="002572EB"/>
    <w:rsid w:val="002572F0"/>
    <w:rsid w:val="00257516"/>
    <w:rsid w:val="00257781"/>
    <w:rsid w:val="00257B63"/>
    <w:rsid w:val="00257EDD"/>
    <w:rsid w:val="00257F4D"/>
    <w:rsid w:val="002601EC"/>
    <w:rsid w:val="00260A40"/>
    <w:rsid w:val="00260A4E"/>
    <w:rsid w:val="00260AD5"/>
    <w:rsid w:val="00260AEE"/>
    <w:rsid w:val="00260D7F"/>
    <w:rsid w:val="00261730"/>
    <w:rsid w:val="002618F0"/>
    <w:rsid w:val="00262058"/>
    <w:rsid w:val="002621A6"/>
    <w:rsid w:val="002622ED"/>
    <w:rsid w:val="0026242D"/>
    <w:rsid w:val="00262661"/>
    <w:rsid w:val="0026298F"/>
    <w:rsid w:val="00262D9D"/>
    <w:rsid w:val="0026316E"/>
    <w:rsid w:val="002632DF"/>
    <w:rsid w:val="002632E6"/>
    <w:rsid w:val="0026342C"/>
    <w:rsid w:val="00263629"/>
    <w:rsid w:val="002636E3"/>
    <w:rsid w:val="00263946"/>
    <w:rsid w:val="002639EB"/>
    <w:rsid w:val="00263E80"/>
    <w:rsid w:val="00263E89"/>
    <w:rsid w:val="00264023"/>
    <w:rsid w:val="002640BA"/>
    <w:rsid w:val="002644EC"/>
    <w:rsid w:val="00264C65"/>
    <w:rsid w:val="00264CF2"/>
    <w:rsid w:val="00264DF3"/>
    <w:rsid w:val="00265268"/>
    <w:rsid w:val="002658AF"/>
    <w:rsid w:val="002659DA"/>
    <w:rsid w:val="00265E57"/>
    <w:rsid w:val="0026605A"/>
    <w:rsid w:val="0026618B"/>
    <w:rsid w:val="0026628B"/>
    <w:rsid w:val="002664A3"/>
    <w:rsid w:val="0026663F"/>
    <w:rsid w:val="002667A8"/>
    <w:rsid w:val="0026697E"/>
    <w:rsid w:val="00266B10"/>
    <w:rsid w:val="00266D8D"/>
    <w:rsid w:val="00266E50"/>
    <w:rsid w:val="00266F45"/>
    <w:rsid w:val="00267587"/>
    <w:rsid w:val="002675C8"/>
    <w:rsid w:val="00267760"/>
    <w:rsid w:val="00267E80"/>
    <w:rsid w:val="00270031"/>
    <w:rsid w:val="00270EAA"/>
    <w:rsid w:val="002713D0"/>
    <w:rsid w:val="00271589"/>
    <w:rsid w:val="00271664"/>
    <w:rsid w:val="002718E3"/>
    <w:rsid w:val="00271906"/>
    <w:rsid w:val="00271B5F"/>
    <w:rsid w:val="00271FEE"/>
    <w:rsid w:val="00272064"/>
    <w:rsid w:val="002720EE"/>
    <w:rsid w:val="0027228F"/>
    <w:rsid w:val="00272429"/>
    <w:rsid w:val="00272828"/>
    <w:rsid w:val="00272958"/>
    <w:rsid w:val="00272ABD"/>
    <w:rsid w:val="00272F97"/>
    <w:rsid w:val="00273177"/>
    <w:rsid w:val="00273509"/>
    <w:rsid w:val="00273E50"/>
    <w:rsid w:val="00273F3B"/>
    <w:rsid w:val="0027450D"/>
    <w:rsid w:val="0027455B"/>
    <w:rsid w:val="0027500F"/>
    <w:rsid w:val="00275074"/>
    <w:rsid w:val="0027538C"/>
    <w:rsid w:val="002755FE"/>
    <w:rsid w:val="002759A2"/>
    <w:rsid w:val="00275ECF"/>
    <w:rsid w:val="002763E9"/>
    <w:rsid w:val="00276431"/>
    <w:rsid w:val="002764AD"/>
    <w:rsid w:val="00276736"/>
    <w:rsid w:val="00276CC7"/>
    <w:rsid w:val="00276F4E"/>
    <w:rsid w:val="0027773D"/>
    <w:rsid w:val="002778BD"/>
    <w:rsid w:val="002779AB"/>
    <w:rsid w:val="00277B5E"/>
    <w:rsid w:val="00277EFF"/>
    <w:rsid w:val="00280323"/>
    <w:rsid w:val="00280421"/>
    <w:rsid w:val="002805FD"/>
    <w:rsid w:val="002809FA"/>
    <w:rsid w:val="002811B0"/>
    <w:rsid w:val="0028124C"/>
    <w:rsid w:val="002815FA"/>
    <w:rsid w:val="002819AC"/>
    <w:rsid w:val="002824C2"/>
    <w:rsid w:val="00282AB3"/>
    <w:rsid w:val="00282EBF"/>
    <w:rsid w:val="00282FF0"/>
    <w:rsid w:val="0028368B"/>
    <w:rsid w:val="002837C2"/>
    <w:rsid w:val="00283873"/>
    <w:rsid w:val="00283D10"/>
    <w:rsid w:val="0028403A"/>
    <w:rsid w:val="002848EC"/>
    <w:rsid w:val="00284B3D"/>
    <w:rsid w:val="00284C1A"/>
    <w:rsid w:val="00284E32"/>
    <w:rsid w:val="00284FC0"/>
    <w:rsid w:val="002851EB"/>
    <w:rsid w:val="00285510"/>
    <w:rsid w:val="0028579A"/>
    <w:rsid w:val="00285BD1"/>
    <w:rsid w:val="00285DE2"/>
    <w:rsid w:val="0028616D"/>
    <w:rsid w:val="0028661B"/>
    <w:rsid w:val="00286672"/>
    <w:rsid w:val="00286965"/>
    <w:rsid w:val="00286BDB"/>
    <w:rsid w:val="00286E6A"/>
    <w:rsid w:val="0028717C"/>
    <w:rsid w:val="0028723C"/>
    <w:rsid w:val="00287552"/>
    <w:rsid w:val="0028761C"/>
    <w:rsid w:val="00287A3F"/>
    <w:rsid w:val="00287C5E"/>
    <w:rsid w:val="00290C0C"/>
    <w:rsid w:val="002910FB"/>
    <w:rsid w:val="0029136E"/>
    <w:rsid w:val="00291481"/>
    <w:rsid w:val="002914A1"/>
    <w:rsid w:val="002914B8"/>
    <w:rsid w:val="00291524"/>
    <w:rsid w:val="00291A33"/>
    <w:rsid w:val="00291D2F"/>
    <w:rsid w:val="00291FDE"/>
    <w:rsid w:val="00292399"/>
    <w:rsid w:val="00292787"/>
    <w:rsid w:val="00292D83"/>
    <w:rsid w:val="0029313B"/>
    <w:rsid w:val="00293AB0"/>
    <w:rsid w:val="00293F99"/>
    <w:rsid w:val="00294445"/>
    <w:rsid w:val="0029495B"/>
    <w:rsid w:val="00294B4D"/>
    <w:rsid w:val="00294B5D"/>
    <w:rsid w:val="0029512C"/>
    <w:rsid w:val="002952C6"/>
    <w:rsid w:val="0029537E"/>
    <w:rsid w:val="002954EC"/>
    <w:rsid w:val="002960D5"/>
    <w:rsid w:val="002961AB"/>
    <w:rsid w:val="00296207"/>
    <w:rsid w:val="00296562"/>
    <w:rsid w:val="0029686E"/>
    <w:rsid w:val="00296957"/>
    <w:rsid w:val="00297342"/>
    <w:rsid w:val="00297926"/>
    <w:rsid w:val="00297D17"/>
    <w:rsid w:val="002A00E1"/>
    <w:rsid w:val="002A02C9"/>
    <w:rsid w:val="002A04A3"/>
    <w:rsid w:val="002A1062"/>
    <w:rsid w:val="002A119E"/>
    <w:rsid w:val="002A1B9B"/>
    <w:rsid w:val="002A2012"/>
    <w:rsid w:val="002A215A"/>
    <w:rsid w:val="002A2413"/>
    <w:rsid w:val="002A2596"/>
    <w:rsid w:val="002A2A68"/>
    <w:rsid w:val="002A2F5E"/>
    <w:rsid w:val="002A352A"/>
    <w:rsid w:val="002A363E"/>
    <w:rsid w:val="002A3B6A"/>
    <w:rsid w:val="002A3D9E"/>
    <w:rsid w:val="002A413A"/>
    <w:rsid w:val="002A422F"/>
    <w:rsid w:val="002A45DC"/>
    <w:rsid w:val="002A4CD1"/>
    <w:rsid w:val="002A5BCF"/>
    <w:rsid w:val="002A607D"/>
    <w:rsid w:val="002A6484"/>
    <w:rsid w:val="002A666D"/>
    <w:rsid w:val="002A67C4"/>
    <w:rsid w:val="002A6A06"/>
    <w:rsid w:val="002A6B2E"/>
    <w:rsid w:val="002A6E1A"/>
    <w:rsid w:val="002A74FB"/>
    <w:rsid w:val="002A788A"/>
    <w:rsid w:val="002A7945"/>
    <w:rsid w:val="002A7BAC"/>
    <w:rsid w:val="002B132E"/>
    <w:rsid w:val="002B13F1"/>
    <w:rsid w:val="002B1499"/>
    <w:rsid w:val="002B16F3"/>
    <w:rsid w:val="002B180E"/>
    <w:rsid w:val="002B18B3"/>
    <w:rsid w:val="002B216F"/>
    <w:rsid w:val="002B2642"/>
    <w:rsid w:val="002B2813"/>
    <w:rsid w:val="002B29AD"/>
    <w:rsid w:val="002B2A6B"/>
    <w:rsid w:val="002B2D29"/>
    <w:rsid w:val="002B2F4A"/>
    <w:rsid w:val="002B309E"/>
    <w:rsid w:val="002B3371"/>
    <w:rsid w:val="002B3699"/>
    <w:rsid w:val="002B3792"/>
    <w:rsid w:val="002B3959"/>
    <w:rsid w:val="002B39AF"/>
    <w:rsid w:val="002B3B13"/>
    <w:rsid w:val="002B3B31"/>
    <w:rsid w:val="002B3BBD"/>
    <w:rsid w:val="002B4233"/>
    <w:rsid w:val="002B4399"/>
    <w:rsid w:val="002B4666"/>
    <w:rsid w:val="002B4A85"/>
    <w:rsid w:val="002B4F8F"/>
    <w:rsid w:val="002B4FDF"/>
    <w:rsid w:val="002B5075"/>
    <w:rsid w:val="002B5595"/>
    <w:rsid w:val="002B5C31"/>
    <w:rsid w:val="002B5F5F"/>
    <w:rsid w:val="002B6201"/>
    <w:rsid w:val="002B647F"/>
    <w:rsid w:val="002B6556"/>
    <w:rsid w:val="002B661D"/>
    <w:rsid w:val="002B6C46"/>
    <w:rsid w:val="002B705B"/>
    <w:rsid w:val="002B751F"/>
    <w:rsid w:val="002B7806"/>
    <w:rsid w:val="002C07FD"/>
    <w:rsid w:val="002C0C4B"/>
    <w:rsid w:val="002C0CDF"/>
    <w:rsid w:val="002C1743"/>
    <w:rsid w:val="002C17EB"/>
    <w:rsid w:val="002C18B1"/>
    <w:rsid w:val="002C1E43"/>
    <w:rsid w:val="002C1EEA"/>
    <w:rsid w:val="002C204A"/>
    <w:rsid w:val="002C215A"/>
    <w:rsid w:val="002C2317"/>
    <w:rsid w:val="002C2738"/>
    <w:rsid w:val="002C2978"/>
    <w:rsid w:val="002C31E0"/>
    <w:rsid w:val="002C32C8"/>
    <w:rsid w:val="002C38F1"/>
    <w:rsid w:val="002C39C5"/>
    <w:rsid w:val="002C3EA5"/>
    <w:rsid w:val="002C4647"/>
    <w:rsid w:val="002C47AD"/>
    <w:rsid w:val="002C4E55"/>
    <w:rsid w:val="002C53B1"/>
    <w:rsid w:val="002C5510"/>
    <w:rsid w:val="002C6034"/>
    <w:rsid w:val="002C6141"/>
    <w:rsid w:val="002C618F"/>
    <w:rsid w:val="002C620E"/>
    <w:rsid w:val="002C635B"/>
    <w:rsid w:val="002C638E"/>
    <w:rsid w:val="002C68F9"/>
    <w:rsid w:val="002C69EF"/>
    <w:rsid w:val="002C6BB8"/>
    <w:rsid w:val="002C7276"/>
    <w:rsid w:val="002C76B5"/>
    <w:rsid w:val="002C770F"/>
    <w:rsid w:val="002C7CFF"/>
    <w:rsid w:val="002C7D8C"/>
    <w:rsid w:val="002C7FEC"/>
    <w:rsid w:val="002D031D"/>
    <w:rsid w:val="002D0561"/>
    <w:rsid w:val="002D0BC6"/>
    <w:rsid w:val="002D0CEA"/>
    <w:rsid w:val="002D12DB"/>
    <w:rsid w:val="002D17C5"/>
    <w:rsid w:val="002D18F0"/>
    <w:rsid w:val="002D2803"/>
    <w:rsid w:val="002D2A60"/>
    <w:rsid w:val="002D312A"/>
    <w:rsid w:val="002D332A"/>
    <w:rsid w:val="002D365F"/>
    <w:rsid w:val="002D4448"/>
    <w:rsid w:val="002D4A98"/>
    <w:rsid w:val="002D51A4"/>
    <w:rsid w:val="002D51DF"/>
    <w:rsid w:val="002D522C"/>
    <w:rsid w:val="002D5632"/>
    <w:rsid w:val="002D5AEC"/>
    <w:rsid w:val="002D5C48"/>
    <w:rsid w:val="002D5C4E"/>
    <w:rsid w:val="002D5C5F"/>
    <w:rsid w:val="002D5CEB"/>
    <w:rsid w:val="002D5F0D"/>
    <w:rsid w:val="002D5F17"/>
    <w:rsid w:val="002D616E"/>
    <w:rsid w:val="002D62E8"/>
    <w:rsid w:val="002D6390"/>
    <w:rsid w:val="002D64EF"/>
    <w:rsid w:val="002D6679"/>
    <w:rsid w:val="002D6892"/>
    <w:rsid w:val="002D68C2"/>
    <w:rsid w:val="002D6F7E"/>
    <w:rsid w:val="002D719C"/>
    <w:rsid w:val="002D75C6"/>
    <w:rsid w:val="002D7C86"/>
    <w:rsid w:val="002E03A3"/>
    <w:rsid w:val="002E0692"/>
    <w:rsid w:val="002E0748"/>
    <w:rsid w:val="002E0CD8"/>
    <w:rsid w:val="002E0F4F"/>
    <w:rsid w:val="002E1069"/>
    <w:rsid w:val="002E10AD"/>
    <w:rsid w:val="002E11EF"/>
    <w:rsid w:val="002E139D"/>
    <w:rsid w:val="002E152D"/>
    <w:rsid w:val="002E19AE"/>
    <w:rsid w:val="002E1B2C"/>
    <w:rsid w:val="002E1D74"/>
    <w:rsid w:val="002E2371"/>
    <w:rsid w:val="002E2824"/>
    <w:rsid w:val="002E2943"/>
    <w:rsid w:val="002E2BEE"/>
    <w:rsid w:val="002E2CF1"/>
    <w:rsid w:val="002E2DF2"/>
    <w:rsid w:val="002E2EA1"/>
    <w:rsid w:val="002E34AF"/>
    <w:rsid w:val="002E37A3"/>
    <w:rsid w:val="002E3BAB"/>
    <w:rsid w:val="002E4302"/>
    <w:rsid w:val="002E48BA"/>
    <w:rsid w:val="002E4AAC"/>
    <w:rsid w:val="002E4AED"/>
    <w:rsid w:val="002E4DA0"/>
    <w:rsid w:val="002E4DF8"/>
    <w:rsid w:val="002E4F70"/>
    <w:rsid w:val="002E53DE"/>
    <w:rsid w:val="002E542C"/>
    <w:rsid w:val="002E554A"/>
    <w:rsid w:val="002E563B"/>
    <w:rsid w:val="002E5787"/>
    <w:rsid w:val="002E58C0"/>
    <w:rsid w:val="002E5C29"/>
    <w:rsid w:val="002E5C74"/>
    <w:rsid w:val="002E62D2"/>
    <w:rsid w:val="002E666E"/>
    <w:rsid w:val="002E6BD0"/>
    <w:rsid w:val="002E6C31"/>
    <w:rsid w:val="002E6D67"/>
    <w:rsid w:val="002E6E55"/>
    <w:rsid w:val="002E71C0"/>
    <w:rsid w:val="002E7303"/>
    <w:rsid w:val="002E734F"/>
    <w:rsid w:val="002E74AF"/>
    <w:rsid w:val="002E758C"/>
    <w:rsid w:val="002E75CA"/>
    <w:rsid w:val="002E771F"/>
    <w:rsid w:val="002E77F6"/>
    <w:rsid w:val="002E79A9"/>
    <w:rsid w:val="002E7AA9"/>
    <w:rsid w:val="002E7BFE"/>
    <w:rsid w:val="002E7F94"/>
    <w:rsid w:val="002F000F"/>
    <w:rsid w:val="002F0EBD"/>
    <w:rsid w:val="002F1038"/>
    <w:rsid w:val="002F184A"/>
    <w:rsid w:val="002F1A44"/>
    <w:rsid w:val="002F1D99"/>
    <w:rsid w:val="002F22FF"/>
    <w:rsid w:val="002F278C"/>
    <w:rsid w:val="002F2991"/>
    <w:rsid w:val="002F2D8F"/>
    <w:rsid w:val="002F2E1F"/>
    <w:rsid w:val="002F3228"/>
    <w:rsid w:val="002F3245"/>
    <w:rsid w:val="002F34FF"/>
    <w:rsid w:val="002F352D"/>
    <w:rsid w:val="002F38D7"/>
    <w:rsid w:val="002F3DCA"/>
    <w:rsid w:val="002F3E82"/>
    <w:rsid w:val="002F3FE3"/>
    <w:rsid w:val="002F42B2"/>
    <w:rsid w:val="002F44A3"/>
    <w:rsid w:val="002F47DB"/>
    <w:rsid w:val="002F52A6"/>
    <w:rsid w:val="002F5691"/>
    <w:rsid w:val="002F5975"/>
    <w:rsid w:val="002F5BE4"/>
    <w:rsid w:val="002F5C8D"/>
    <w:rsid w:val="002F5E54"/>
    <w:rsid w:val="002F6029"/>
    <w:rsid w:val="002F623A"/>
    <w:rsid w:val="002F649C"/>
    <w:rsid w:val="002F687C"/>
    <w:rsid w:val="002F695B"/>
    <w:rsid w:val="002F6A6D"/>
    <w:rsid w:val="002F6C49"/>
    <w:rsid w:val="002F6DF7"/>
    <w:rsid w:val="002F6E1C"/>
    <w:rsid w:val="002F6FAB"/>
    <w:rsid w:val="002F72DA"/>
    <w:rsid w:val="002F7600"/>
    <w:rsid w:val="002F76B1"/>
    <w:rsid w:val="002F7D66"/>
    <w:rsid w:val="002F7DBE"/>
    <w:rsid w:val="00300209"/>
    <w:rsid w:val="00300481"/>
    <w:rsid w:val="00300645"/>
    <w:rsid w:val="0030090B"/>
    <w:rsid w:val="00301436"/>
    <w:rsid w:val="0030144A"/>
    <w:rsid w:val="00301573"/>
    <w:rsid w:val="0030157C"/>
    <w:rsid w:val="00301813"/>
    <w:rsid w:val="003023F5"/>
    <w:rsid w:val="00302572"/>
    <w:rsid w:val="00302A6E"/>
    <w:rsid w:val="00302A81"/>
    <w:rsid w:val="00302AE8"/>
    <w:rsid w:val="00302B04"/>
    <w:rsid w:val="00302BB1"/>
    <w:rsid w:val="00302C78"/>
    <w:rsid w:val="00302D7D"/>
    <w:rsid w:val="00302FF3"/>
    <w:rsid w:val="003030F0"/>
    <w:rsid w:val="0030349F"/>
    <w:rsid w:val="00303CD9"/>
    <w:rsid w:val="0030404B"/>
    <w:rsid w:val="003040E3"/>
    <w:rsid w:val="003041DB"/>
    <w:rsid w:val="00304210"/>
    <w:rsid w:val="003043C3"/>
    <w:rsid w:val="0030440A"/>
    <w:rsid w:val="003048D7"/>
    <w:rsid w:val="00304A1B"/>
    <w:rsid w:val="00304AA3"/>
    <w:rsid w:val="00304AD2"/>
    <w:rsid w:val="00304C53"/>
    <w:rsid w:val="00304CEA"/>
    <w:rsid w:val="00304EAA"/>
    <w:rsid w:val="00305164"/>
    <w:rsid w:val="00305297"/>
    <w:rsid w:val="00305403"/>
    <w:rsid w:val="003054F5"/>
    <w:rsid w:val="00305775"/>
    <w:rsid w:val="00305FAB"/>
    <w:rsid w:val="003062E6"/>
    <w:rsid w:val="003064DF"/>
    <w:rsid w:val="00306538"/>
    <w:rsid w:val="003068B6"/>
    <w:rsid w:val="00306AEE"/>
    <w:rsid w:val="00306D3A"/>
    <w:rsid w:val="00306EA7"/>
    <w:rsid w:val="003071F6"/>
    <w:rsid w:val="00307589"/>
    <w:rsid w:val="00307768"/>
    <w:rsid w:val="00307A47"/>
    <w:rsid w:val="00307BB9"/>
    <w:rsid w:val="00307D6A"/>
    <w:rsid w:val="00307DD5"/>
    <w:rsid w:val="00307EA7"/>
    <w:rsid w:val="00307F20"/>
    <w:rsid w:val="00307FE0"/>
    <w:rsid w:val="003100F3"/>
    <w:rsid w:val="0031037E"/>
    <w:rsid w:val="003107EB"/>
    <w:rsid w:val="003108B9"/>
    <w:rsid w:val="00310CCB"/>
    <w:rsid w:val="00310D8F"/>
    <w:rsid w:val="00310E66"/>
    <w:rsid w:val="0031192B"/>
    <w:rsid w:val="00311A1A"/>
    <w:rsid w:val="00311C08"/>
    <w:rsid w:val="00311F67"/>
    <w:rsid w:val="00311F86"/>
    <w:rsid w:val="003124DE"/>
    <w:rsid w:val="003125B1"/>
    <w:rsid w:val="003125E0"/>
    <w:rsid w:val="00312EC2"/>
    <w:rsid w:val="00312ECE"/>
    <w:rsid w:val="00313881"/>
    <w:rsid w:val="0031393C"/>
    <w:rsid w:val="00313CB0"/>
    <w:rsid w:val="00313E38"/>
    <w:rsid w:val="00313E39"/>
    <w:rsid w:val="00313F96"/>
    <w:rsid w:val="003141D0"/>
    <w:rsid w:val="00314927"/>
    <w:rsid w:val="00314B0A"/>
    <w:rsid w:val="00314B76"/>
    <w:rsid w:val="00314C5F"/>
    <w:rsid w:val="00314DA0"/>
    <w:rsid w:val="003150CE"/>
    <w:rsid w:val="00315628"/>
    <w:rsid w:val="00315645"/>
    <w:rsid w:val="00315AAB"/>
    <w:rsid w:val="00315B65"/>
    <w:rsid w:val="00315CF6"/>
    <w:rsid w:val="00315D51"/>
    <w:rsid w:val="00315E57"/>
    <w:rsid w:val="00315ED5"/>
    <w:rsid w:val="00316299"/>
    <w:rsid w:val="00316394"/>
    <w:rsid w:val="0031646B"/>
    <w:rsid w:val="00316757"/>
    <w:rsid w:val="00316947"/>
    <w:rsid w:val="00316A81"/>
    <w:rsid w:val="00316ED7"/>
    <w:rsid w:val="00316F9A"/>
    <w:rsid w:val="00316FB1"/>
    <w:rsid w:val="003175E1"/>
    <w:rsid w:val="00317771"/>
    <w:rsid w:val="00317896"/>
    <w:rsid w:val="00317BB5"/>
    <w:rsid w:val="00317C81"/>
    <w:rsid w:val="00317D7C"/>
    <w:rsid w:val="00317EB0"/>
    <w:rsid w:val="00317FCF"/>
    <w:rsid w:val="00320224"/>
    <w:rsid w:val="00320299"/>
    <w:rsid w:val="0032036C"/>
    <w:rsid w:val="003208A7"/>
    <w:rsid w:val="003209A3"/>
    <w:rsid w:val="00320A18"/>
    <w:rsid w:val="00320DBE"/>
    <w:rsid w:val="00321154"/>
    <w:rsid w:val="003211B0"/>
    <w:rsid w:val="00321252"/>
    <w:rsid w:val="003218B1"/>
    <w:rsid w:val="00321B2C"/>
    <w:rsid w:val="00321EDA"/>
    <w:rsid w:val="00321F01"/>
    <w:rsid w:val="003224AA"/>
    <w:rsid w:val="003224E7"/>
    <w:rsid w:val="00322730"/>
    <w:rsid w:val="00322CE5"/>
    <w:rsid w:val="00322D16"/>
    <w:rsid w:val="00322E34"/>
    <w:rsid w:val="00323016"/>
    <w:rsid w:val="003234D9"/>
    <w:rsid w:val="003235BE"/>
    <w:rsid w:val="0032386F"/>
    <w:rsid w:val="00323BE0"/>
    <w:rsid w:val="00323C82"/>
    <w:rsid w:val="00323D23"/>
    <w:rsid w:val="00323D73"/>
    <w:rsid w:val="003240C9"/>
    <w:rsid w:val="0032431A"/>
    <w:rsid w:val="00324628"/>
    <w:rsid w:val="00324842"/>
    <w:rsid w:val="003248C0"/>
    <w:rsid w:val="00324C76"/>
    <w:rsid w:val="0032594C"/>
    <w:rsid w:val="00325D71"/>
    <w:rsid w:val="00325D7A"/>
    <w:rsid w:val="00325F9C"/>
    <w:rsid w:val="00326145"/>
    <w:rsid w:val="00326272"/>
    <w:rsid w:val="00326487"/>
    <w:rsid w:val="003264BB"/>
    <w:rsid w:val="00326861"/>
    <w:rsid w:val="003268F4"/>
    <w:rsid w:val="00327161"/>
    <w:rsid w:val="00327163"/>
    <w:rsid w:val="00327305"/>
    <w:rsid w:val="00327460"/>
    <w:rsid w:val="00327531"/>
    <w:rsid w:val="00327C8C"/>
    <w:rsid w:val="00330056"/>
    <w:rsid w:val="00330187"/>
    <w:rsid w:val="003307F8"/>
    <w:rsid w:val="00330BAE"/>
    <w:rsid w:val="00330D85"/>
    <w:rsid w:val="00330E3E"/>
    <w:rsid w:val="00330E58"/>
    <w:rsid w:val="00331280"/>
    <w:rsid w:val="0033168D"/>
    <w:rsid w:val="00331791"/>
    <w:rsid w:val="00331C77"/>
    <w:rsid w:val="00331D34"/>
    <w:rsid w:val="00331DB6"/>
    <w:rsid w:val="00331F96"/>
    <w:rsid w:val="003321C6"/>
    <w:rsid w:val="0033220D"/>
    <w:rsid w:val="00332B55"/>
    <w:rsid w:val="00332C88"/>
    <w:rsid w:val="003336B9"/>
    <w:rsid w:val="00333865"/>
    <w:rsid w:val="00333A5F"/>
    <w:rsid w:val="00333B19"/>
    <w:rsid w:val="00333DB5"/>
    <w:rsid w:val="00333F65"/>
    <w:rsid w:val="00334051"/>
    <w:rsid w:val="0033409E"/>
    <w:rsid w:val="003342E1"/>
    <w:rsid w:val="0033476C"/>
    <w:rsid w:val="00334A3E"/>
    <w:rsid w:val="00334BFA"/>
    <w:rsid w:val="00334F15"/>
    <w:rsid w:val="003353D9"/>
    <w:rsid w:val="00335AD8"/>
    <w:rsid w:val="00335EA8"/>
    <w:rsid w:val="0033615E"/>
    <w:rsid w:val="00336343"/>
    <w:rsid w:val="003363DD"/>
    <w:rsid w:val="003371EA"/>
    <w:rsid w:val="00337810"/>
    <w:rsid w:val="00337F99"/>
    <w:rsid w:val="003400FA"/>
    <w:rsid w:val="00340361"/>
    <w:rsid w:val="003404CB"/>
    <w:rsid w:val="00340524"/>
    <w:rsid w:val="00340795"/>
    <w:rsid w:val="00340E0F"/>
    <w:rsid w:val="0034111C"/>
    <w:rsid w:val="0034118A"/>
    <w:rsid w:val="003412B9"/>
    <w:rsid w:val="003412F9"/>
    <w:rsid w:val="0034159D"/>
    <w:rsid w:val="00341947"/>
    <w:rsid w:val="00341E60"/>
    <w:rsid w:val="0034213B"/>
    <w:rsid w:val="0034217F"/>
    <w:rsid w:val="00342AD2"/>
    <w:rsid w:val="00342F6B"/>
    <w:rsid w:val="003438C5"/>
    <w:rsid w:val="00343954"/>
    <w:rsid w:val="00343A2F"/>
    <w:rsid w:val="00343E19"/>
    <w:rsid w:val="00343F08"/>
    <w:rsid w:val="00343FB4"/>
    <w:rsid w:val="003442AC"/>
    <w:rsid w:val="00344435"/>
    <w:rsid w:val="003446AC"/>
    <w:rsid w:val="00344821"/>
    <w:rsid w:val="00344AD6"/>
    <w:rsid w:val="00344BCA"/>
    <w:rsid w:val="00345389"/>
    <w:rsid w:val="00345405"/>
    <w:rsid w:val="00345467"/>
    <w:rsid w:val="003457DB"/>
    <w:rsid w:val="00345B48"/>
    <w:rsid w:val="00345DDD"/>
    <w:rsid w:val="00345E68"/>
    <w:rsid w:val="00345FAE"/>
    <w:rsid w:val="0034642A"/>
    <w:rsid w:val="00346584"/>
    <w:rsid w:val="00346799"/>
    <w:rsid w:val="003469E2"/>
    <w:rsid w:val="00346DBD"/>
    <w:rsid w:val="00346FED"/>
    <w:rsid w:val="00347281"/>
    <w:rsid w:val="003475A3"/>
    <w:rsid w:val="00347998"/>
    <w:rsid w:val="00347BCF"/>
    <w:rsid w:val="00347D02"/>
    <w:rsid w:val="003501B6"/>
    <w:rsid w:val="003502D9"/>
    <w:rsid w:val="003503B7"/>
    <w:rsid w:val="0035054F"/>
    <w:rsid w:val="003506ED"/>
    <w:rsid w:val="00350AB4"/>
    <w:rsid w:val="00350B6C"/>
    <w:rsid w:val="00350C81"/>
    <w:rsid w:val="003510B0"/>
    <w:rsid w:val="0035165D"/>
    <w:rsid w:val="00351925"/>
    <w:rsid w:val="00351B3F"/>
    <w:rsid w:val="00351E01"/>
    <w:rsid w:val="00351EE2"/>
    <w:rsid w:val="00351F34"/>
    <w:rsid w:val="003524F6"/>
    <w:rsid w:val="0035284A"/>
    <w:rsid w:val="00352968"/>
    <w:rsid w:val="0035298B"/>
    <w:rsid w:val="003529E1"/>
    <w:rsid w:val="00352A55"/>
    <w:rsid w:val="00352C9B"/>
    <w:rsid w:val="00352D21"/>
    <w:rsid w:val="00352E52"/>
    <w:rsid w:val="00352F49"/>
    <w:rsid w:val="0035342B"/>
    <w:rsid w:val="00353869"/>
    <w:rsid w:val="0035388C"/>
    <w:rsid w:val="00353B12"/>
    <w:rsid w:val="00353FFE"/>
    <w:rsid w:val="0035443D"/>
    <w:rsid w:val="003544BB"/>
    <w:rsid w:val="003549E2"/>
    <w:rsid w:val="00354A0B"/>
    <w:rsid w:val="00354AA2"/>
    <w:rsid w:val="00354FEE"/>
    <w:rsid w:val="003550F9"/>
    <w:rsid w:val="00355611"/>
    <w:rsid w:val="00355B90"/>
    <w:rsid w:val="0035605B"/>
    <w:rsid w:val="00356275"/>
    <w:rsid w:val="00356435"/>
    <w:rsid w:val="0035647A"/>
    <w:rsid w:val="003564E2"/>
    <w:rsid w:val="00356530"/>
    <w:rsid w:val="003567FE"/>
    <w:rsid w:val="00356852"/>
    <w:rsid w:val="00356C0B"/>
    <w:rsid w:val="00356D4B"/>
    <w:rsid w:val="00356D65"/>
    <w:rsid w:val="0035711B"/>
    <w:rsid w:val="00357185"/>
    <w:rsid w:val="003575DA"/>
    <w:rsid w:val="0035768A"/>
    <w:rsid w:val="00357875"/>
    <w:rsid w:val="0035787B"/>
    <w:rsid w:val="00357B9C"/>
    <w:rsid w:val="00360694"/>
    <w:rsid w:val="00360821"/>
    <w:rsid w:val="0036099D"/>
    <w:rsid w:val="00360D8D"/>
    <w:rsid w:val="00360EDA"/>
    <w:rsid w:val="00360F11"/>
    <w:rsid w:val="003610D8"/>
    <w:rsid w:val="00361131"/>
    <w:rsid w:val="00361268"/>
    <w:rsid w:val="00361412"/>
    <w:rsid w:val="0036143C"/>
    <w:rsid w:val="003615CA"/>
    <w:rsid w:val="003621C8"/>
    <w:rsid w:val="00362264"/>
    <w:rsid w:val="00362339"/>
    <w:rsid w:val="00362599"/>
    <w:rsid w:val="0036290E"/>
    <w:rsid w:val="003629ED"/>
    <w:rsid w:val="00362D5E"/>
    <w:rsid w:val="00362E38"/>
    <w:rsid w:val="00362FDF"/>
    <w:rsid w:val="0036343F"/>
    <w:rsid w:val="003637CE"/>
    <w:rsid w:val="00363849"/>
    <w:rsid w:val="003638AC"/>
    <w:rsid w:val="00363A3B"/>
    <w:rsid w:val="00363B2C"/>
    <w:rsid w:val="003642A6"/>
    <w:rsid w:val="0036458D"/>
    <w:rsid w:val="00364724"/>
    <w:rsid w:val="00364763"/>
    <w:rsid w:val="00364A2B"/>
    <w:rsid w:val="00364AAE"/>
    <w:rsid w:val="00364ACE"/>
    <w:rsid w:val="003656E7"/>
    <w:rsid w:val="00365803"/>
    <w:rsid w:val="00365811"/>
    <w:rsid w:val="00365AB1"/>
    <w:rsid w:val="00365C3D"/>
    <w:rsid w:val="003665AA"/>
    <w:rsid w:val="003665FC"/>
    <w:rsid w:val="00366A14"/>
    <w:rsid w:val="00366A23"/>
    <w:rsid w:val="00366A2C"/>
    <w:rsid w:val="00366C1B"/>
    <w:rsid w:val="00366F4B"/>
    <w:rsid w:val="00366FBC"/>
    <w:rsid w:val="00367337"/>
    <w:rsid w:val="00367367"/>
    <w:rsid w:val="0036771A"/>
    <w:rsid w:val="00367FD8"/>
    <w:rsid w:val="0037004E"/>
    <w:rsid w:val="0037069D"/>
    <w:rsid w:val="00370B63"/>
    <w:rsid w:val="00370FCC"/>
    <w:rsid w:val="00371034"/>
    <w:rsid w:val="003711AF"/>
    <w:rsid w:val="0037141C"/>
    <w:rsid w:val="00371753"/>
    <w:rsid w:val="003719B6"/>
    <w:rsid w:val="00371B5B"/>
    <w:rsid w:val="0037238E"/>
    <w:rsid w:val="0037270D"/>
    <w:rsid w:val="00372CD3"/>
    <w:rsid w:val="00372D80"/>
    <w:rsid w:val="00372E3F"/>
    <w:rsid w:val="003731C8"/>
    <w:rsid w:val="0037345F"/>
    <w:rsid w:val="003735C6"/>
    <w:rsid w:val="00373933"/>
    <w:rsid w:val="00373BF4"/>
    <w:rsid w:val="00373C16"/>
    <w:rsid w:val="00373DCF"/>
    <w:rsid w:val="00374542"/>
    <w:rsid w:val="00374817"/>
    <w:rsid w:val="00374848"/>
    <w:rsid w:val="00374AFD"/>
    <w:rsid w:val="0037549A"/>
    <w:rsid w:val="003756C3"/>
    <w:rsid w:val="003757A1"/>
    <w:rsid w:val="00375D09"/>
    <w:rsid w:val="003762DC"/>
    <w:rsid w:val="00376A94"/>
    <w:rsid w:val="00376BA7"/>
    <w:rsid w:val="00376C81"/>
    <w:rsid w:val="00376F92"/>
    <w:rsid w:val="0037700D"/>
    <w:rsid w:val="003770CB"/>
    <w:rsid w:val="0037729C"/>
    <w:rsid w:val="0037739D"/>
    <w:rsid w:val="0037742B"/>
    <w:rsid w:val="0037751C"/>
    <w:rsid w:val="00377D61"/>
    <w:rsid w:val="00377DA1"/>
    <w:rsid w:val="00380059"/>
    <w:rsid w:val="00380B66"/>
    <w:rsid w:val="00380C8E"/>
    <w:rsid w:val="00380DE1"/>
    <w:rsid w:val="00380F3F"/>
    <w:rsid w:val="00381277"/>
    <w:rsid w:val="00381291"/>
    <w:rsid w:val="00381464"/>
    <w:rsid w:val="003814FB"/>
    <w:rsid w:val="00381953"/>
    <w:rsid w:val="00381999"/>
    <w:rsid w:val="00382071"/>
    <w:rsid w:val="0038219F"/>
    <w:rsid w:val="00382232"/>
    <w:rsid w:val="0038234D"/>
    <w:rsid w:val="003823D1"/>
    <w:rsid w:val="00382B3B"/>
    <w:rsid w:val="00382BDB"/>
    <w:rsid w:val="00382CDB"/>
    <w:rsid w:val="00382DB5"/>
    <w:rsid w:val="00382F1A"/>
    <w:rsid w:val="00382F9A"/>
    <w:rsid w:val="0038322C"/>
    <w:rsid w:val="00383282"/>
    <w:rsid w:val="00383422"/>
    <w:rsid w:val="00383522"/>
    <w:rsid w:val="00383658"/>
    <w:rsid w:val="00383926"/>
    <w:rsid w:val="003839E9"/>
    <w:rsid w:val="0038412E"/>
    <w:rsid w:val="0038430D"/>
    <w:rsid w:val="0038489F"/>
    <w:rsid w:val="003853BC"/>
    <w:rsid w:val="003856F5"/>
    <w:rsid w:val="0038580A"/>
    <w:rsid w:val="0038587D"/>
    <w:rsid w:val="00385950"/>
    <w:rsid w:val="00385B21"/>
    <w:rsid w:val="00385D4E"/>
    <w:rsid w:val="00385D6E"/>
    <w:rsid w:val="00385F43"/>
    <w:rsid w:val="00386053"/>
    <w:rsid w:val="003867C6"/>
    <w:rsid w:val="003867EE"/>
    <w:rsid w:val="00386BB1"/>
    <w:rsid w:val="00386BF1"/>
    <w:rsid w:val="003870A4"/>
    <w:rsid w:val="0038722B"/>
    <w:rsid w:val="00387459"/>
    <w:rsid w:val="003874CB"/>
    <w:rsid w:val="0038771D"/>
    <w:rsid w:val="003878E6"/>
    <w:rsid w:val="00387A0F"/>
    <w:rsid w:val="00387A70"/>
    <w:rsid w:val="00387A90"/>
    <w:rsid w:val="00387B88"/>
    <w:rsid w:val="00387DDA"/>
    <w:rsid w:val="00390236"/>
    <w:rsid w:val="0039025B"/>
    <w:rsid w:val="003906C6"/>
    <w:rsid w:val="003907B2"/>
    <w:rsid w:val="00390935"/>
    <w:rsid w:val="00390FC9"/>
    <w:rsid w:val="00391039"/>
    <w:rsid w:val="00391A6D"/>
    <w:rsid w:val="00391FD5"/>
    <w:rsid w:val="0039224A"/>
    <w:rsid w:val="0039241F"/>
    <w:rsid w:val="00392491"/>
    <w:rsid w:val="00392642"/>
    <w:rsid w:val="00392842"/>
    <w:rsid w:val="00393124"/>
    <w:rsid w:val="00393355"/>
    <w:rsid w:val="003935B0"/>
    <w:rsid w:val="00393660"/>
    <w:rsid w:val="00393793"/>
    <w:rsid w:val="00393BC0"/>
    <w:rsid w:val="00393E44"/>
    <w:rsid w:val="00394003"/>
    <w:rsid w:val="00394301"/>
    <w:rsid w:val="00394408"/>
    <w:rsid w:val="00394634"/>
    <w:rsid w:val="003948EC"/>
    <w:rsid w:val="00394C9D"/>
    <w:rsid w:val="00394E33"/>
    <w:rsid w:val="00395045"/>
    <w:rsid w:val="00395A59"/>
    <w:rsid w:val="003960A6"/>
    <w:rsid w:val="003960BA"/>
    <w:rsid w:val="0039656C"/>
    <w:rsid w:val="00396EFF"/>
    <w:rsid w:val="003971F3"/>
    <w:rsid w:val="0039723A"/>
    <w:rsid w:val="0039747B"/>
    <w:rsid w:val="003977A3"/>
    <w:rsid w:val="0039792A"/>
    <w:rsid w:val="00397AB6"/>
    <w:rsid w:val="00397ACA"/>
    <w:rsid w:val="003A00F5"/>
    <w:rsid w:val="003A04A4"/>
    <w:rsid w:val="003A05C5"/>
    <w:rsid w:val="003A05F5"/>
    <w:rsid w:val="003A067E"/>
    <w:rsid w:val="003A0841"/>
    <w:rsid w:val="003A09F7"/>
    <w:rsid w:val="003A0A23"/>
    <w:rsid w:val="003A0AE8"/>
    <w:rsid w:val="003A0B64"/>
    <w:rsid w:val="003A10C3"/>
    <w:rsid w:val="003A1168"/>
    <w:rsid w:val="003A116D"/>
    <w:rsid w:val="003A1842"/>
    <w:rsid w:val="003A18D2"/>
    <w:rsid w:val="003A191C"/>
    <w:rsid w:val="003A1C65"/>
    <w:rsid w:val="003A1DDC"/>
    <w:rsid w:val="003A2267"/>
    <w:rsid w:val="003A23CC"/>
    <w:rsid w:val="003A2407"/>
    <w:rsid w:val="003A2B7B"/>
    <w:rsid w:val="003A2F09"/>
    <w:rsid w:val="003A3532"/>
    <w:rsid w:val="003A3A5B"/>
    <w:rsid w:val="003A3BE5"/>
    <w:rsid w:val="003A404A"/>
    <w:rsid w:val="003A43CB"/>
    <w:rsid w:val="003A45D2"/>
    <w:rsid w:val="003A45E4"/>
    <w:rsid w:val="003A495D"/>
    <w:rsid w:val="003A4A40"/>
    <w:rsid w:val="003A4C15"/>
    <w:rsid w:val="003A4C7C"/>
    <w:rsid w:val="003A4FC8"/>
    <w:rsid w:val="003A5100"/>
    <w:rsid w:val="003A518E"/>
    <w:rsid w:val="003A5595"/>
    <w:rsid w:val="003A5611"/>
    <w:rsid w:val="003A56B4"/>
    <w:rsid w:val="003A56CC"/>
    <w:rsid w:val="003A5844"/>
    <w:rsid w:val="003A5913"/>
    <w:rsid w:val="003A5974"/>
    <w:rsid w:val="003A597F"/>
    <w:rsid w:val="003A5DFC"/>
    <w:rsid w:val="003A5E5D"/>
    <w:rsid w:val="003A6197"/>
    <w:rsid w:val="003A627F"/>
    <w:rsid w:val="003A6471"/>
    <w:rsid w:val="003A66BA"/>
    <w:rsid w:val="003A6A22"/>
    <w:rsid w:val="003A71A8"/>
    <w:rsid w:val="003A71D2"/>
    <w:rsid w:val="003A720B"/>
    <w:rsid w:val="003A733A"/>
    <w:rsid w:val="003A762F"/>
    <w:rsid w:val="003A78E6"/>
    <w:rsid w:val="003A7948"/>
    <w:rsid w:val="003A7AAE"/>
    <w:rsid w:val="003A7C67"/>
    <w:rsid w:val="003B00CA"/>
    <w:rsid w:val="003B018D"/>
    <w:rsid w:val="003B030B"/>
    <w:rsid w:val="003B0432"/>
    <w:rsid w:val="003B062C"/>
    <w:rsid w:val="003B0821"/>
    <w:rsid w:val="003B0863"/>
    <w:rsid w:val="003B0BE9"/>
    <w:rsid w:val="003B0C5A"/>
    <w:rsid w:val="003B0F4B"/>
    <w:rsid w:val="003B0FCD"/>
    <w:rsid w:val="003B18E3"/>
    <w:rsid w:val="003B19EE"/>
    <w:rsid w:val="003B1E88"/>
    <w:rsid w:val="003B233F"/>
    <w:rsid w:val="003B2582"/>
    <w:rsid w:val="003B2641"/>
    <w:rsid w:val="003B2E9B"/>
    <w:rsid w:val="003B2F8D"/>
    <w:rsid w:val="003B3262"/>
    <w:rsid w:val="003B336A"/>
    <w:rsid w:val="003B3C64"/>
    <w:rsid w:val="003B3E89"/>
    <w:rsid w:val="003B3EF0"/>
    <w:rsid w:val="003B4FAA"/>
    <w:rsid w:val="003B547A"/>
    <w:rsid w:val="003B582B"/>
    <w:rsid w:val="003B5C3C"/>
    <w:rsid w:val="003B6598"/>
    <w:rsid w:val="003B65CC"/>
    <w:rsid w:val="003B6660"/>
    <w:rsid w:val="003B6EC0"/>
    <w:rsid w:val="003B752A"/>
    <w:rsid w:val="003B75B9"/>
    <w:rsid w:val="003B7653"/>
    <w:rsid w:val="003B7B70"/>
    <w:rsid w:val="003C049C"/>
    <w:rsid w:val="003C087B"/>
    <w:rsid w:val="003C0DA2"/>
    <w:rsid w:val="003C12D5"/>
    <w:rsid w:val="003C133B"/>
    <w:rsid w:val="003C143D"/>
    <w:rsid w:val="003C146F"/>
    <w:rsid w:val="003C18A5"/>
    <w:rsid w:val="003C1983"/>
    <w:rsid w:val="003C1A18"/>
    <w:rsid w:val="003C1D6F"/>
    <w:rsid w:val="003C1FE5"/>
    <w:rsid w:val="003C211F"/>
    <w:rsid w:val="003C2226"/>
    <w:rsid w:val="003C29D4"/>
    <w:rsid w:val="003C2AFC"/>
    <w:rsid w:val="003C2E28"/>
    <w:rsid w:val="003C2FD6"/>
    <w:rsid w:val="003C3264"/>
    <w:rsid w:val="003C344E"/>
    <w:rsid w:val="003C353A"/>
    <w:rsid w:val="003C3590"/>
    <w:rsid w:val="003C37AF"/>
    <w:rsid w:val="003C3BEE"/>
    <w:rsid w:val="003C3E51"/>
    <w:rsid w:val="003C4118"/>
    <w:rsid w:val="003C44AC"/>
    <w:rsid w:val="003C4716"/>
    <w:rsid w:val="003C4A8F"/>
    <w:rsid w:val="003C4ED1"/>
    <w:rsid w:val="003C4F29"/>
    <w:rsid w:val="003C5039"/>
    <w:rsid w:val="003C5069"/>
    <w:rsid w:val="003C52B1"/>
    <w:rsid w:val="003C5603"/>
    <w:rsid w:val="003C57B1"/>
    <w:rsid w:val="003C5A0D"/>
    <w:rsid w:val="003C5C27"/>
    <w:rsid w:val="003C5C41"/>
    <w:rsid w:val="003C643D"/>
    <w:rsid w:val="003C64E8"/>
    <w:rsid w:val="003C6509"/>
    <w:rsid w:val="003C669D"/>
    <w:rsid w:val="003C66E3"/>
    <w:rsid w:val="003C6843"/>
    <w:rsid w:val="003C6877"/>
    <w:rsid w:val="003C68C0"/>
    <w:rsid w:val="003C6A2E"/>
    <w:rsid w:val="003C6BC7"/>
    <w:rsid w:val="003C6D96"/>
    <w:rsid w:val="003C7062"/>
    <w:rsid w:val="003C7129"/>
    <w:rsid w:val="003C719C"/>
    <w:rsid w:val="003C7411"/>
    <w:rsid w:val="003C7461"/>
    <w:rsid w:val="003C74B9"/>
    <w:rsid w:val="003C7AFD"/>
    <w:rsid w:val="003C7F0B"/>
    <w:rsid w:val="003C7F85"/>
    <w:rsid w:val="003D0057"/>
    <w:rsid w:val="003D00D6"/>
    <w:rsid w:val="003D0788"/>
    <w:rsid w:val="003D0797"/>
    <w:rsid w:val="003D101A"/>
    <w:rsid w:val="003D132A"/>
    <w:rsid w:val="003D13D4"/>
    <w:rsid w:val="003D1432"/>
    <w:rsid w:val="003D1517"/>
    <w:rsid w:val="003D15F3"/>
    <w:rsid w:val="003D1C03"/>
    <w:rsid w:val="003D1D37"/>
    <w:rsid w:val="003D1D50"/>
    <w:rsid w:val="003D207F"/>
    <w:rsid w:val="003D2107"/>
    <w:rsid w:val="003D2320"/>
    <w:rsid w:val="003D232D"/>
    <w:rsid w:val="003D2648"/>
    <w:rsid w:val="003D286B"/>
    <w:rsid w:val="003D2938"/>
    <w:rsid w:val="003D2C8F"/>
    <w:rsid w:val="003D31CC"/>
    <w:rsid w:val="003D3467"/>
    <w:rsid w:val="003D3705"/>
    <w:rsid w:val="003D3AD7"/>
    <w:rsid w:val="003D3D8F"/>
    <w:rsid w:val="003D3E00"/>
    <w:rsid w:val="003D3FBA"/>
    <w:rsid w:val="003D402B"/>
    <w:rsid w:val="003D4922"/>
    <w:rsid w:val="003D4A0B"/>
    <w:rsid w:val="003D4C26"/>
    <w:rsid w:val="003D4F0E"/>
    <w:rsid w:val="003D4F3C"/>
    <w:rsid w:val="003D52A6"/>
    <w:rsid w:val="003D53DC"/>
    <w:rsid w:val="003D54B0"/>
    <w:rsid w:val="003D5551"/>
    <w:rsid w:val="003D5640"/>
    <w:rsid w:val="003D5AB6"/>
    <w:rsid w:val="003D60B5"/>
    <w:rsid w:val="003D64BE"/>
    <w:rsid w:val="003D67E1"/>
    <w:rsid w:val="003D695F"/>
    <w:rsid w:val="003D6A04"/>
    <w:rsid w:val="003D6FA0"/>
    <w:rsid w:val="003D6FD7"/>
    <w:rsid w:val="003D7065"/>
    <w:rsid w:val="003D764F"/>
    <w:rsid w:val="003D76EF"/>
    <w:rsid w:val="003E0042"/>
    <w:rsid w:val="003E02E3"/>
    <w:rsid w:val="003E0380"/>
    <w:rsid w:val="003E0667"/>
    <w:rsid w:val="003E06E2"/>
    <w:rsid w:val="003E0835"/>
    <w:rsid w:val="003E0848"/>
    <w:rsid w:val="003E0BCE"/>
    <w:rsid w:val="003E0DF3"/>
    <w:rsid w:val="003E0F7C"/>
    <w:rsid w:val="003E13E0"/>
    <w:rsid w:val="003E1660"/>
    <w:rsid w:val="003E16B4"/>
    <w:rsid w:val="003E1CD1"/>
    <w:rsid w:val="003E1DAF"/>
    <w:rsid w:val="003E1FC7"/>
    <w:rsid w:val="003E21A0"/>
    <w:rsid w:val="003E2A2D"/>
    <w:rsid w:val="003E3290"/>
    <w:rsid w:val="003E3B9B"/>
    <w:rsid w:val="003E42B0"/>
    <w:rsid w:val="003E42BD"/>
    <w:rsid w:val="003E47D4"/>
    <w:rsid w:val="003E4A3D"/>
    <w:rsid w:val="003E4DED"/>
    <w:rsid w:val="003E50B9"/>
    <w:rsid w:val="003E50DF"/>
    <w:rsid w:val="003E5215"/>
    <w:rsid w:val="003E5485"/>
    <w:rsid w:val="003E54A1"/>
    <w:rsid w:val="003E5562"/>
    <w:rsid w:val="003E58AD"/>
    <w:rsid w:val="003E5998"/>
    <w:rsid w:val="003E5BDA"/>
    <w:rsid w:val="003E5C27"/>
    <w:rsid w:val="003E5DE5"/>
    <w:rsid w:val="003E5F9A"/>
    <w:rsid w:val="003E635F"/>
    <w:rsid w:val="003E64A9"/>
    <w:rsid w:val="003E6766"/>
    <w:rsid w:val="003E69AE"/>
    <w:rsid w:val="003E6C78"/>
    <w:rsid w:val="003E6CEF"/>
    <w:rsid w:val="003E6D6F"/>
    <w:rsid w:val="003E6EC6"/>
    <w:rsid w:val="003E76DC"/>
    <w:rsid w:val="003E7905"/>
    <w:rsid w:val="003E7B1A"/>
    <w:rsid w:val="003E7EE1"/>
    <w:rsid w:val="003E7FEB"/>
    <w:rsid w:val="003F02FD"/>
    <w:rsid w:val="003F0336"/>
    <w:rsid w:val="003F033C"/>
    <w:rsid w:val="003F0684"/>
    <w:rsid w:val="003F0D67"/>
    <w:rsid w:val="003F1456"/>
    <w:rsid w:val="003F1489"/>
    <w:rsid w:val="003F14B5"/>
    <w:rsid w:val="003F15AF"/>
    <w:rsid w:val="003F1778"/>
    <w:rsid w:val="003F17B0"/>
    <w:rsid w:val="003F1A5F"/>
    <w:rsid w:val="003F1CA7"/>
    <w:rsid w:val="003F23A4"/>
    <w:rsid w:val="003F23F2"/>
    <w:rsid w:val="003F2E13"/>
    <w:rsid w:val="003F32F8"/>
    <w:rsid w:val="003F37BD"/>
    <w:rsid w:val="003F3FB3"/>
    <w:rsid w:val="003F3FCC"/>
    <w:rsid w:val="003F458A"/>
    <w:rsid w:val="003F4B00"/>
    <w:rsid w:val="003F4B09"/>
    <w:rsid w:val="003F50FA"/>
    <w:rsid w:val="003F5190"/>
    <w:rsid w:val="003F53F8"/>
    <w:rsid w:val="003F5547"/>
    <w:rsid w:val="003F5688"/>
    <w:rsid w:val="003F574D"/>
    <w:rsid w:val="003F595A"/>
    <w:rsid w:val="003F5C40"/>
    <w:rsid w:val="003F66AF"/>
    <w:rsid w:val="003F6880"/>
    <w:rsid w:val="003F6E12"/>
    <w:rsid w:val="003F6E4F"/>
    <w:rsid w:val="003F6F8B"/>
    <w:rsid w:val="003F756C"/>
    <w:rsid w:val="003F756F"/>
    <w:rsid w:val="003F75ED"/>
    <w:rsid w:val="003F7777"/>
    <w:rsid w:val="003F797C"/>
    <w:rsid w:val="00400297"/>
    <w:rsid w:val="004002B7"/>
    <w:rsid w:val="004005F1"/>
    <w:rsid w:val="00400732"/>
    <w:rsid w:val="00400A79"/>
    <w:rsid w:val="00400D3F"/>
    <w:rsid w:val="00400F31"/>
    <w:rsid w:val="00401918"/>
    <w:rsid w:val="0040203D"/>
    <w:rsid w:val="0040204C"/>
    <w:rsid w:val="004023AF"/>
    <w:rsid w:val="004023BA"/>
    <w:rsid w:val="00402B16"/>
    <w:rsid w:val="00402B76"/>
    <w:rsid w:val="004032EE"/>
    <w:rsid w:val="00403396"/>
    <w:rsid w:val="004033A9"/>
    <w:rsid w:val="004034DB"/>
    <w:rsid w:val="00403570"/>
    <w:rsid w:val="0040377D"/>
    <w:rsid w:val="0040410A"/>
    <w:rsid w:val="004042D8"/>
    <w:rsid w:val="00404773"/>
    <w:rsid w:val="00404A6C"/>
    <w:rsid w:val="00404BFE"/>
    <w:rsid w:val="00404E1E"/>
    <w:rsid w:val="004059E3"/>
    <w:rsid w:val="00405C9B"/>
    <w:rsid w:val="004061C0"/>
    <w:rsid w:val="0040637B"/>
    <w:rsid w:val="004066BD"/>
    <w:rsid w:val="00406B4D"/>
    <w:rsid w:val="00406BB1"/>
    <w:rsid w:val="00406C70"/>
    <w:rsid w:val="0040725E"/>
    <w:rsid w:val="00407313"/>
    <w:rsid w:val="004075F6"/>
    <w:rsid w:val="00407C84"/>
    <w:rsid w:val="00407DF0"/>
    <w:rsid w:val="00407E01"/>
    <w:rsid w:val="00407F64"/>
    <w:rsid w:val="004105E2"/>
    <w:rsid w:val="00410C4A"/>
    <w:rsid w:val="00410CD2"/>
    <w:rsid w:val="00410DDC"/>
    <w:rsid w:val="0041117A"/>
    <w:rsid w:val="00411924"/>
    <w:rsid w:val="004119FC"/>
    <w:rsid w:val="00411AEF"/>
    <w:rsid w:val="004122BE"/>
    <w:rsid w:val="004127F8"/>
    <w:rsid w:val="0041283F"/>
    <w:rsid w:val="00412C5F"/>
    <w:rsid w:val="004133D6"/>
    <w:rsid w:val="0041371D"/>
    <w:rsid w:val="00413857"/>
    <w:rsid w:val="00414112"/>
    <w:rsid w:val="0041443C"/>
    <w:rsid w:val="004144FB"/>
    <w:rsid w:val="004145DC"/>
    <w:rsid w:val="0041488D"/>
    <w:rsid w:val="0041488F"/>
    <w:rsid w:val="004149A6"/>
    <w:rsid w:val="00414BD8"/>
    <w:rsid w:val="004150AC"/>
    <w:rsid w:val="004151CA"/>
    <w:rsid w:val="004154F7"/>
    <w:rsid w:val="00415AF4"/>
    <w:rsid w:val="00415B3D"/>
    <w:rsid w:val="00415BC5"/>
    <w:rsid w:val="00415BD3"/>
    <w:rsid w:val="00415C6E"/>
    <w:rsid w:val="00415D24"/>
    <w:rsid w:val="00416855"/>
    <w:rsid w:val="00416D44"/>
    <w:rsid w:val="00416EEB"/>
    <w:rsid w:val="004170A5"/>
    <w:rsid w:val="00417106"/>
    <w:rsid w:val="004175C6"/>
    <w:rsid w:val="004176FF"/>
    <w:rsid w:val="00417823"/>
    <w:rsid w:val="00417A1E"/>
    <w:rsid w:val="00420409"/>
    <w:rsid w:val="0042067D"/>
    <w:rsid w:val="0042068B"/>
    <w:rsid w:val="0042077D"/>
    <w:rsid w:val="00420A40"/>
    <w:rsid w:val="00420B24"/>
    <w:rsid w:val="00420CB2"/>
    <w:rsid w:val="00421143"/>
    <w:rsid w:val="004214AE"/>
    <w:rsid w:val="00421540"/>
    <w:rsid w:val="004217DA"/>
    <w:rsid w:val="00421A27"/>
    <w:rsid w:val="00421BD1"/>
    <w:rsid w:val="00421D0A"/>
    <w:rsid w:val="00421E3A"/>
    <w:rsid w:val="00421EED"/>
    <w:rsid w:val="00422015"/>
    <w:rsid w:val="0042205E"/>
    <w:rsid w:val="0042246E"/>
    <w:rsid w:val="004226AA"/>
    <w:rsid w:val="004226C3"/>
    <w:rsid w:val="004228BA"/>
    <w:rsid w:val="00422911"/>
    <w:rsid w:val="004229FA"/>
    <w:rsid w:val="00422A8C"/>
    <w:rsid w:val="00422D8C"/>
    <w:rsid w:val="00422EE4"/>
    <w:rsid w:val="0042323C"/>
    <w:rsid w:val="004235A4"/>
    <w:rsid w:val="00423A58"/>
    <w:rsid w:val="00423E05"/>
    <w:rsid w:val="004241C5"/>
    <w:rsid w:val="00424548"/>
    <w:rsid w:val="00424D01"/>
    <w:rsid w:val="00424DF8"/>
    <w:rsid w:val="00424FA7"/>
    <w:rsid w:val="004250B4"/>
    <w:rsid w:val="0042534C"/>
    <w:rsid w:val="004256A3"/>
    <w:rsid w:val="004256CD"/>
    <w:rsid w:val="004257CA"/>
    <w:rsid w:val="00425A1B"/>
    <w:rsid w:val="00425A9E"/>
    <w:rsid w:val="00425D2C"/>
    <w:rsid w:val="00426453"/>
    <w:rsid w:val="0042655B"/>
    <w:rsid w:val="004267FB"/>
    <w:rsid w:val="00426A87"/>
    <w:rsid w:val="00426C6A"/>
    <w:rsid w:val="00426D64"/>
    <w:rsid w:val="00426DA8"/>
    <w:rsid w:val="00427007"/>
    <w:rsid w:val="00427174"/>
    <w:rsid w:val="00427A7C"/>
    <w:rsid w:val="00427E36"/>
    <w:rsid w:val="00427F79"/>
    <w:rsid w:val="004308AB"/>
    <w:rsid w:val="004309D8"/>
    <w:rsid w:val="00430A50"/>
    <w:rsid w:val="00430CF9"/>
    <w:rsid w:val="0043106D"/>
    <w:rsid w:val="004313D1"/>
    <w:rsid w:val="004314C0"/>
    <w:rsid w:val="004315E3"/>
    <w:rsid w:val="00431C73"/>
    <w:rsid w:val="00431DCE"/>
    <w:rsid w:val="00432110"/>
    <w:rsid w:val="004328EE"/>
    <w:rsid w:val="00432916"/>
    <w:rsid w:val="00432975"/>
    <w:rsid w:val="00432B90"/>
    <w:rsid w:val="00432F20"/>
    <w:rsid w:val="004335AC"/>
    <w:rsid w:val="0043366E"/>
    <w:rsid w:val="00433689"/>
    <w:rsid w:val="00433C0E"/>
    <w:rsid w:val="00433D23"/>
    <w:rsid w:val="00433EBE"/>
    <w:rsid w:val="00433FFF"/>
    <w:rsid w:val="00434406"/>
    <w:rsid w:val="00434797"/>
    <w:rsid w:val="00434E17"/>
    <w:rsid w:val="00434EF8"/>
    <w:rsid w:val="004356D4"/>
    <w:rsid w:val="00435B89"/>
    <w:rsid w:val="004365CF"/>
    <w:rsid w:val="004366C4"/>
    <w:rsid w:val="00436735"/>
    <w:rsid w:val="004367C2"/>
    <w:rsid w:val="00436F92"/>
    <w:rsid w:val="004371DD"/>
    <w:rsid w:val="0043773A"/>
    <w:rsid w:val="00437993"/>
    <w:rsid w:val="00437E81"/>
    <w:rsid w:val="00440556"/>
    <w:rsid w:val="00440882"/>
    <w:rsid w:val="00440FED"/>
    <w:rsid w:val="00441054"/>
    <w:rsid w:val="00441301"/>
    <w:rsid w:val="004414DC"/>
    <w:rsid w:val="00441B92"/>
    <w:rsid w:val="00441D9E"/>
    <w:rsid w:val="0044208C"/>
    <w:rsid w:val="0044256D"/>
    <w:rsid w:val="004426D6"/>
    <w:rsid w:val="00442880"/>
    <w:rsid w:val="00442DB5"/>
    <w:rsid w:val="00442E60"/>
    <w:rsid w:val="004435AD"/>
    <w:rsid w:val="00443A9F"/>
    <w:rsid w:val="00443C35"/>
    <w:rsid w:val="00443DE8"/>
    <w:rsid w:val="00444519"/>
    <w:rsid w:val="0044474B"/>
    <w:rsid w:val="00444A44"/>
    <w:rsid w:val="00444CBF"/>
    <w:rsid w:val="00444E9D"/>
    <w:rsid w:val="00445045"/>
    <w:rsid w:val="004455A0"/>
    <w:rsid w:val="00445917"/>
    <w:rsid w:val="00445CC7"/>
    <w:rsid w:val="00445CF9"/>
    <w:rsid w:val="00445F55"/>
    <w:rsid w:val="00445F9B"/>
    <w:rsid w:val="00445FF7"/>
    <w:rsid w:val="004463BA"/>
    <w:rsid w:val="0044676D"/>
    <w:rsid w:val="0044691A"/>
    <w:rsid w:val="004469CA"/>
    <w:rsid w:val="00446A78"/>
    <w:rsid w:val="004473B5"/>
    <w:rsid w:val="00447EC2"/>
    <w:rsid w:val="004501B5"/>
    <w:rsid w:val="004506F4"/>
    <w:rsid w:val="00450708"/>
    <w:rsid w:val="004508A8"/>
    <w:rsid w:val="004511FD"/>
    <w:rsid w:val="004514A9"/>
    <w:rsid w:val="00451891"/>
    <w:rsid w:val="00451BAE"/>
    <w:rsid w:val="00451D4F"/>
    <w:rsid w:val="00451EDB"/>
    <w:rsid w:val="00451EEE"/>
    <w:rsid w:val="00451F38"/>
    <w:rsid w:val="0045287B"/>
    <w:rsid w:val="004528E6"/>
    <w:rsid w:val="00452B23"/>
    <w:rsid w:val="00452CA7"/>
    <w:rsid w:val="00453341"/>
    <w:rsid w:val="00453A19"/>
    <w:rsid w:val="00453A4E"/>
    <w:rsid w:val="00453C55"/>
    <w:rsid w:val="00453D17"/>
    <w:rsid w:val="0045440E"/>
    <w:rsid w:val="004544E5"/>
    <w:rsid w:val="004545C6"/>
    <w:rsid w:val="004546C8"/>
    <w:rsid w:val="00454975"/>
    <w:rsid w:val="00454A0A"/>
    <w:rsid w:val="00454AA0"/>
    <w:rsid w:val="00454C7D"/>
    <w:rsid w:val="00454DCA"/>
    <w:rsid w:val="00454E26"/>
    <w:rsid w:val="00455227"/>
    <w:rsid w:val="004552F0"/>
    <w:rsid w:val="004553EC"/>
    <w:rsid w:val="00455BAC"/>
    <w:rsid w:val="00455BD0"/>
    <w:rsid w:val="00456544"/>
    <w:rsid w:val="00456649"/>
    <w:rsid w:val="004567B7"/>
    <w:rsid w:val="004567DC"/>
    <w:rsid w:val="00456856"/>
    <w:rsid w:val="00456B33"/>
    <w:rsid w:val="004571EF"/>
    <w:rsid w:val="004572C6"/>
    <w:rsid w:val="00457916"/>
    <w:rsid w:val="00457CBB"/>
    <w:rsid w:val="00457F9B"/>
    <w:rsid w:val="00460189"/>
    <w:rsid w:val="00460457"/>
    <w:rsid w:val="0046047A"/>
    <w:rsid w:val="004607CC"/>
    <w:rsid w:val="00461210"/>
    <w:rsid w:val="00461572"/>
    <w:rsid w:val="00461700"/>
    <w:rsid w:val="004617AC"/>
    <w:rsid w:val="00461AAC"/>
    <w:rsid w:val="00461C79"/>
    <w:rsid w:val="00461EC4"/>
    <w:rsid w:val="00461ECC"/>
    <w:rsid w:val="00461F3F"/>
    <w:rsid w:val="004620D5"/>
    <w:rsid w:val="00462490"/>
    <w:rsid w:val="00462774"/>
    <w:rsid w:val="00462AC9"/>
    <w:rsid w:val="004631A3"/>
    <w:rsid w:val="00463218"/>
    <w:rsid w:val="004636F5"/>
    <w:rsid w:val="00463DC3"/>
    <w:rsid w:val="004640A3"/>
    <w:rsid w:val="004640CD"/>
    <w:rsid w:val="00464167"/>
    <w:rsid w:val="00464910"/>
    <w:rsid w:val="00464974"/>
    <w:rsid w:val="00464F9F"/>
    <w:rsid w:val="00465299"/>
    <w:rsid w:val="0046544B"/>
    <w:rsid w:val="00465812"/>
    <w:rsid w:val="00465E99"/>
    <w:rsid w:val="00466132"/>
    <w:rsid w:val="0046662A"/>
    <w:rsid w:val="0046694B"/>
    <w:rsid w:val="00466A0F"/>
    <w:rsid w:val="00466D72"/>
    <w:rsid w:val="00467072"/>
    <w:rsid w:val="00467509"/>
    <w:rsid w:val="0046766F"/>
    <w:rsid w:val="004676E9"/>
    <w:rsid w:val="0046795B"/>
    <w:rsid w:val="00470767"/>
    <w:rsid w:val="004707D5"/>
    <w:rsid w:val="004708C0"/>
    <w:rsid w:val="004710B4"/>
    <w:rsid w:val="0047115F"/>
    <w:rsid w:val="004715CB"/>
    <w:rsid w:val="00471806"/>
    <w:rsid w:val="00471863"/>
    <w:rsid w:val="0047243C"/>
    <w:rsid w:val="004725AA"/>
    <w:rsid w:val="004729D9"/>
    <w:rsid w:val="00472E88"/>
    <w:rsid w:val="00473311"/>
    <w:rsid w:val="00473777"/>
    <w:rsid w:val="00473A14"/>
    <w:rsid w:val="00473BAE"/>
    <w:rsid w:val="00473D9F"/>
    <w:rsid w:val="00473E63"/>
    <w:rsid w:val="00474061"/>
    <w:rsid w:val="004745A9"/>
    <w:rsid w:val="00474871"/>
    <w:rsid w:val="00474CA8"/>
    <w:rsid w:val="00474D33"/>
    <w:rsid w:val="00474E43"/>
    <w:rsid w:val="00475261"/>
    <w:rsid w:val="0047546A"/>
    <w:rsid w:val="00475632"/>
    <w:rsid w:val="00475A62"/>
    <w:rsid w:val="004766B4"/>
    <w:rsid w:val="004766DA"/>
    <w:rsid w:val="00476844"/>
    <w:rsid w:val="00476A55"/>
    <w:rsid w:val="004770EE"/>
    <w:rsid w:val="00477135"/>
    <w:rsid w:val="0047754E"/>
    <w:rsid w:val="004800A1"/>
    <w:rsid w:val="004800C9"/>
    <w:rsid w:val="0048014A"/>
    <w:rsid w:val="0048076D"/>
    <w:rsid w:val="00480C5C"/>
    <w:rsid w:val="0048134D"/>
    <w:rsid w:val="00481558"/>
    <w:rsid w:val="00481624"/>
    <w:rsid w:val="004816DF"/>
    <w:rsid w:val="00481762"/>
    <w:rsid w:val="00481765"/>
    <w:rsid w:val="00481B7A"/>
    <w:rsid w:val="00481D90"/>
    <w:rsid w:val="0048213F"/>
    <w:rsid w:val="004821BF"/>
    <w:rsid w:val="00482700"/>
    <w:rsid w:val="004829F7"/>
    <w:rsid w:val="00482CD4"/>
    <w:rsid w:val="00483261"/>
    <w:rsid w:val="0048328A"/>
    <w:rsid w:val="004832CE"/>
    <w:rsid w:val="00483391"/>
    <w:rsid w:val="00483A02"/>
    <w:rsid w:val="0048412E"/>
    <w:rsid w:val="00484377"/>
    <w:rsid w:val="00484644"/>
    <w:rsid w:val="00484CFF"/>
    <w:rsid w:val="00484EAD"/>
    <w:rsid w:val="00484EDD"/>
    <w:rsid w:val="00484F26"/>
    <w:rsid w:val="00485360"/>
    <w:rsid w:val="004859E1"/>
    <w:rsid w:val="00485B23"/>
    <w:rsid w:val="00485B50"/>
    <w:rsid w:val="00485BF0"/>
    <w:rsid w:val="00485CCF"/>
    <w:rsid w:val="00486656"/>
    <w:rsid w:val="004866CF"/>
    <w:rsid w:val="0048680C"/>
    <w:rsid w:val="00486FB8"/>
    <w:rsid w:val="00487058"/>
    <w:rsid w:val="00487485"/>
    <w:rsid w:val="004874E4"/>
    <w:rsid w:val="00490046"/>
    <w:rsid w:val="00490511"/>
    <w:rsid w:val="0049070D"/>
    <w:rsid w:val="004909D4"/>
    <w:rsid w:val="00490A39"/>
    <w:rsid w:val="00490E82"/>
    <w:rsid w:val="00490FA1"/>
    <w:rsid w:val="00491A41"/>
    <w:rsid w:val="00491B04"/>
    <w:rsid w:val="00491BE4"/>
    <w:rsid w:val="00491DB2"/>
    <w:rsid w:val="0049218E"/>
    <w:rsid w:val="004923ED"/>
    <w:rsid w:val="00492782"/>
    <w:rsid w:val="00492877"/>
    <w:rsid w:val="00492AEB"/>
    <w:rsid w:val="00492C8F"/>
    <w:rsid w:val="00492E54"/>
    <w:rsid w:val="00492F4D"/>
    <w:rsid w:val="004930FA"/>
    <w:rsid w:val="00493811"/>
    <w:rsid w:val="00493B07"/>
    <w:rsid w:val="00493BA8"/>
    <w:rsid w:val="00493BF4"/>
    <w:rsid w:val="00493C50"/>
    <w:rsid w:val="00493E76"/>
    <w:rsid w:val="00493E7B"/>
    <w:rsid w:val="00494381"/>
    <w:rsid w:val="00494446"/>
    <w:rsid w:val="004949C6"/>
    <w:rsid w:val="00494B6C"/>
    <w:rsid w:val="00494B8D"/>
    <w:rsid w:val="00494BFC"/>
    <w:rsid w:val="00495028"/>
    <w:rsid w:val="00495563"/>
    <w:rsid w:val="00495893"/>
    <w:rsid w:val="00495A20"/>
    <w:rsid w:val="00495AA7"/>
    <w:rsid w:val="00495BA6"/>
    <w:rsid w:val="00495DD0"/>
    <w:rsid w:val="00495DD8"/>
    <w:rsid w:val="00495F08"/>
    <w:rsid w:val="00496144"/>
    <w:rsid w:val="0049698B"/>
    <w:rsid w:val="00496B35"/>
    <w:rsid w:val="00496DC2"/>
    <w:rsid w:val="00496E75"/>
    <w:rsid w:val="00497083"/>
    <w:rsid w:val="004971FA"/>
    <w:rsid w:val="004974BD"/>
    <w:rsid w:val="0049760B"/>
    <w:rsid w:val="00497790"/>
    <w:rsid w:val="0049789A"/>
    <w:rsid w:val="00497C6C"/>
    <w:rsid w:val="00497CD9"/>
    <w:rsid w:val="00497DD7"/>
    <w:rsid w:val="00497E50"/>
    <w:rsid w:val="00497EEF"/>
    <w:rsid w:val="00497F58"/>
    <w:rsid w:val="00497FA6"/>
    <w:rsid w:val="004A014C"/>
    <w:rsid w:val="004A05AA"/>
    <w:rsid w:val="004A0848"/>
    <w:rsid w:val="004A0AA8"/>
    <w:rsid w:val="004A151E"/>
    <w:rsid w:val="004A163D"/>
    <w:rsid w:val="004A1795"/>
    <w:rsid w:val="004A1AC2"/>
    <w:rsid w:val="004A1CCD"/>
    <w:rsid w:val="004A1EE4"/>
    <w:rsid w:val="004A1FE4"/>
    <w:rsid w:val="004A2103"/>
    <w:rsid w:val="004A22B2"/>
    <w:rsid w:val="004A2C27"/>
    <w:rsid w:val="004A2C38"/>
    <w:rsid w:val="004A2CA9"/>
    <w:rsid w:val="004A2F1C"/>
    <w:rsid w:val="004A33EF"/>
    <w:rsid w:val="004A34C9"/>
    <w:rsid w:val="004A3581"/>
    <w:rsid w:val="004A3704"/>
    <w:rsid w:val="004A393E"/>
    <w:rsid w:val="004A39D2"/>
    <w:rsid w:val="004A3CB5"/>
    <w:rsid w:val="004A3E35"/>
    <w:rsid w:val="004A438B"/>
    <w:rsid w:val="004A48C3"/>
    <w:rsid w:val="004A4952"/>
    <w:rsid w:val="004A497B"/>
    <w:rsid w:val="004A50BF"/>
    <w:rsid w:val="004A537D"/>
    <w:rsid w:val="004A55A2"/>
    <w:rsid w:val="004A5709"/>
    <w:rsid w:val="004A5A60"/>
    <w:rsid w:val="004A60BF"/>
    <w:rsid w:val="004A6443"/>
    <w:rsid w:val="004A67F0"/>
    <w:rsid w:val="004A6816"/>
    <w:rsid w:val="004A6A28"/>
    <w:rsid w:val="004A7186"/>
    <w:rsid w:val="004A71C3"/>
    <w:rsid w:val="004A7769"/>
    <w:rsid w:val="004A77B1"/>
    <w:rsid w:val="004A7886"/>
    <w:rsid w:val="004B0BA7"/>
    <w:rsid w:val="004B0D36"/>
    <w:rsid w:val="004B1612"/>
    <w:rsid w:val="004B21C7"/>
    <w:rsid w:val="004B2257"/>
    <w:rsid w:val="004B23AD"/>
    <w:rsid w:val="004B2456"/>
    <w:rsid w:val="004B2965"/>
    <w:rsid w:val="004B2991"/>
    <w:rsid w:val="004B2F0C"/>
    <w:rsid w:val="004B3265"/>
    <w:rsid w:val="004B3545"/>
    <w:rsid w:val="004B3E9E"/>
    <w:rsid w:val="004B4224"/>
    <w:rsid w:val="004B4297"/>
    <w:rsid w:val="004B4647"/>
    <w:rsid w:val="004B46D0"/>
    <w:rsid w:val="004B541D"/>
    <w:rsid w:val="004B5432"/>
    <w:rsid w:val="004B54C6"/>
    <w:rsid w:val="004B55BB"/>
    <w:rsid w:val="004B5D11"/>
    <w:rsid w:val="004B5D99"/>
    <w:rsid w:val="004B5E93"/>
    <w:rsid w:val="004B6279"/>
    <w:rsid w:val="004B650E"/>
    <w:rsid w:val="004B6843"/>
    <w:rsid w:val="004B6B25"/>
    <w:rsid w:val="004B6BD0"/>
    <w:rsid w:val="004B6BD8"/>
    <w:rsid w:val="004B6C20"/>
    <w:rsid w:val="004B71D5"/>
    <w:rsid w:val="004B7455"/>
    <w:rsid w:val="004B74FF"/>
    <w:rsid w:val="004B76C9"/>
    <w:rsid w:val="004B771C"/>
    <w:rsid w:val="004B784D"/>
    <w:rsid w:val="004B7A28"/>
    <w:rsid w:val="004B7BEF"/>
    <w:rsid w:val="004B7CE4"/>
    <w:rsid w:val="004B7D22"/>
    <w:rsid w:val="004B7ECA"/>
    <w:rsid w:val="004C0005"/>
    <w:rsid w:val="004C0100"/>
    <w:rsid w:val="004C0401"/>
    <w:rsid w:val="004C07F1"/>
    <w:rsid w:val="004C090A"/>
    <w:rsid w:val="004C0AD3"/>
    <w:rsid w:val="004C0C49"/>
    <w:rsid w:val="004C0D79"/>
    <w:rsid w:val="004C0DA9"/>
    <w:rsid w:val="004C1096"/>
    <w:rsid w:val="004C127B"/>
    <w:rsid w:val="004C183D"/>
    <w:rsid w:val="004C19C1"/>
    <w:rsid w:val="004C1E2D"/>
    <w:rsid w:val="004C228A"/>
    <w:rsid w:val="004C2805"/>
    <w:rsid w:val="004C296E"/>
    <w:rsid w:val="004C31CF"/>
    <w:rsid w:val="004C3591"/>
    <w:rsid w:val="004C3770"/>
    <w:rsid w:val="004C394F"/>
    <w:rsid w:val="004C3A48"/>
    <w:rsid w:val="004C3EC7"/>
    <w:rsid w:val="004C3EEE"/>
    <w:rsid w:val="004C404A"/>
    <w:rsid w:val="004C40A5"/>
    <w:rsid w:val="004C4564"/>
    <w:rsid w:val="004C483D"/>
    <w:rsid w:val="004C49EA"/>
    <w:rsid w:val="004C49FB"/>
    <w:rsid w:val="004C4D15"/>
    <w:rsid w:val="004C54D9"/>
    <w:rsid w:val="004C59BE"/>
    <w:rsid w:val="004C5B9D"/>
    <w:rsid w:val="004C64F3"/>
    <w:rsid w:val="004C679B"/>
    <w:rsid w:val="004C6AA6"/>
    <w:rsid w:val="004C6DA5"/>
    <w:rsid w:val="004C795A"/>
    <w:rsid w:val="004C7F93"/>
    <w:rsid w:val="004D00D6"/>
    <w:rsid w:val="004D01C3"/>
    <w:rsid w:val="004D02D6"/>
    <w:rsid w:val="004D0462"/>
    <w:rsid w:val="004D0469"/>
    <w:rsid w:val="004D0478"/>
    <w:rsid w:val="004D04A8"/>
    <w:rsid w:val="004D07D2"/>
    <w:rsid w:val="004D0833"/>
    <w:rsid w:val="004D0B42"/>
    <w:rsid w:val="004D0B81"/>
    <w:rsid w:val="004D1828"/>
    <w:rsid w:val="004D1C24"/>
    <w:rsid w:val="004D24CB"/>
    <w:rsid w:val="004D2629"/>
    <w:rsid w:val="004D26B8"/>
    <w:rsid w:val="004D29C4"/>
    <w:rsid w:val="004D2A22"/>
    <w:rsid w:val="004D2B3A"/>
    <w:rsid w:val="004D2C2C"/>
    <w:rsid w:val="004D2D8D"/>
    <w:rsid w:val="004D38C2"/>
    <w:rsid w:val="004D39BA"/>
    <w:rsid w:val="004D41DC"/>
    <w:rsid w:val="004D429D"/>
    <w:rsid w:val="004D4EF9"/>
    <w:rsid w:val="004D4FBD"/>
    <w:rsid w:val="004D4FC0"/>
    <w:rsid w:val="004D55A4"/>
    <w:rsid w:val="004D571D"/>
    <w:rsid w:val="004D5CE7"/>
    <w:rsid w:val="004D5DE2"/>
    <w:rsid w:val="004D5DF7"/>
    <w:rsid w:val="004D5FC9"/>
    <w:rsid w:val="004D6381"/>
    <w:rsid w:val="004D63FB"/>
    <w:rsid w:val="004D66E2"/>
    <w:rsid w:val="004D6737"/>
    <w:rsid w:val="004D6A68"/>
    <w:rsid w:val="004D6A6F"/>
    <w:rsid w:val="004D70D6"/>
    <w:rsid w:val="004D722F"/>
    <w:rsid w:val="004D72D8"/>
    <w:rsid w:val="004D7435"/>
    <w:rsid w:val="004D76C6"/>
    <w:rsid w:val="004D7808"/>
    <w:rsid w:val="004D7988"/>
    <w:rsid w:val="004D7BFC"/>
    <w:rsid w:val="004D7DA8"/>
    <w:rsid w:val="004D7FF6"/>
    <w:rsid w:val="004E03AD"/>
    <w:rsid w:val="004E0619"/>
    <w:rsid w:val="004E084D"/>
    <w:rsid w:val="004E0A27"/>
    <w:rsid w:val="004E0A95"/>
    <w:rsid w:val="004E0C2B"/>
    <w:rsid w:val="004E10CD"/>
    <w:rsid w:val="004E1401"/>
    <w:rsid w:val="004E14F6"/>
    <w:rsid w:val="004E184D"/>
    <w:rsid w:val="004E18B3"/>
    <w:rsid w:val="004E1D77"/>
    <w:rsid w:val="004E206E"/>
    <w:rsid w:val="004E20A8"/>
    <w:rsid w:val="004E23A9"/>
    <w:rsid w:val="004E23E2"/>
    <w:rsid w:val="004E24AD"/>
    <w:rsid w:val="004E263F"/>
    <w:rsid w:val="004E2892"/>
    <w:rsid w:val="004E362B"/>
    <w:rsid w:val="004E3681"/>
    <w:rsid w:val="004E3D74"/>
    <w:rsid w:val="004E412B"/>
    <w:rsid w:val="004E4179"/>
    <w:rsid w:val="004E44A3"/>
    <w:rsid w:val="004E4621"/>
    <w:rsid w:val="004E4877"/>
    <w:rsid w:val="004E4B07"/>
    <w:rsid w:val="004E50F3"/>
    <w:rsid w:val="004E5421"/>
    <w:rsid w:val="004E563A"/>
    <w:rsid w:val="004E5C17"/>
    <w:rsid w:val="004E5DE1"/>
    <w:rsid w:val="004E61A8"/>
    <w:rsid w:val="004E61DD"/>
    <w:rsid w:val="004E6463"/>
    <w:rsid w:val="004E68C2"/>
    <w:rsid w:val="004E69D6"/>
    <w:rsid w:val="004E6D9E"/>
    <w:rsid w:val="004E71C2"/>
    <w:rsid w:val="004E75D4"/>
    <w:rsid w:val="004E7727"/>
    <w:rsid w:val="004E782C"/>
    <w:rsid w:val="004E784B"/>
    <w:rsid w:val="004E7923"/>
    <w:rsid w:val="004E7C2F"/>
    <w:rsid w:val="004E7D8F"/>
    <w:rsid w:val="004F0163"/>
    <w:rsid w:val="004F0224"/>
    <w:rsid w:val="004F049E"/>
    <w:rsid w:val="004F0597"/>
    <w:rsid w:val="004F075D"/>
    <w:rsid w:val="004F0D1B"/>
    <w:rsid w:val="004F0DB4"/>
    <w:rsid w:val="004F0E04"/>
    <w:rsid w:val="004F168C"/>
    <w:rsid w:val="004F1717"/>
    <w:rsid w:val="004F1CD3"/>
    <w:rsid w:val="004F1EBC"/>
    <w:rsid w:val="004F1FE2"/>
    <w:rsid w:val="004F20E8"/>
    <w:rsid w:val="004F2100"/>
    <w:rsid w:val="004F21BC"/>
    <w:rsid w:val="004F2244"/>
    <w:rsid w:val="004F2746"/>
    <w:rsid w:val="004F3172"/>
    <w:rsid w:val="004F358B"/>
    <w:rsid w:val="004F35A6"/>
    <w:rsid w:val="004F3862"/>
    <w:rsid w:val="004F3B71"/>
    <w:rsid w:val="004F3EC9"/>
    <w:rsid w:val="004F3FE5"/>
    <w:rsid w:val="004F4012"/>
    <w:rsid w:val="004F4028"/>
    <w:rsid w:val="004F455E"/>
    <w:rsid w:val="004F47A7"/>
    <w:rsid w:val="004F495A"/>
    <w:rsid w:val="004F4A30"/>
    <w:rsid w:val="004F511A"/>
    <w:rsid w:val="004F5154"/>
    <w:rsid w:val="004F5835"/>
    <w:rsid w:val="004F5CFC"/>
    <w:rsid w:val="004F6018"/>
    <w:rsid w:val="004F6218"/>
    <w:rsid w:val="004F63A1"/>
    <w:rsid w:val="004F6455"/>
    <w:rsid w:val="004F661C"/>
    <w:rsid w:val="004F674A"/>
    <w:rsid w:val="004F6BC3"/>
    <w:rsid w:val="004F6D99"/>
    <w:rsid w:val="004F6E38"/>
    <w:rsid w:val="004F6F78"/>
    <w:rsid w:val="004F7427"/>
    <w:rsid w:val="004F75B3"/>
    <w:rsid w:val="004F77CC"/>
    <w:rsid w:val="004F78EB"/>
    <w:rsid w:val="004F7C29"/>
    <w:rsid w:val="004F7C7C"/>
    <w:rsid w:val="004F7D55"/>
    <w:rsid w:val="004F7DCA"/>
    <w:rsid w:val="004F7E00"/>
    <w:rsid w:val="0050011A"/>
    <w:rsid w:val="00500146"/>
    <w:rsid w:val="00500520"/>
    <w:rsid w:val="0050055D"/>
    <w:rsid w:val="00500572"/>
    <w:rsid w:val="00500573"/>
    <w:rsid w:val="00500701"/>
    <w:rsid w:val="0050086C"/>
    <w:rsid w:val="0050092A"/>
    <w:rsid w:val="00500947"/>
    <w:rsid w:val="00500B81"/>
    <w:rsid w:val="00500EDA"/>
    <w:rsid w:val="00501283"/>
    <w:rsid w:val="00501304"/>
    <w:rsid w:val="00501425"/>
    <w:rsid w:val="00501451"/>
    <w:rsid w:val="0050186C"/>
    <w:rsid w:val="005018B1"/>
    <w:rsid w:val="005020FF"/>
    <w:rsid w:val="0050279D"/>
    <w:rsid w:val="00502800"/>
    <w:rsid w:val="00502CCE"/>
    <w:rsid w:val="0050304E"/>
    <w:rsid w:val="0050318B"/>
    <w:rsid w:val="00503A18"/>
    <w:rsid w:val="00503CF2"/>
    <w:rsid w:val="00503D90"/>
    <w:rsid w:val="005040E2"/>
    <w:rsid w:val="00504227"/>
    <w:rsid w:val="00504311"/>
    <w:rsid w:val="005043AE"/>
    <w:rsid w:val="005046F7"/>
    <w:rsid w:val="005047DA"/>
    <w:rsid w:val="0050485C"/>
    <w:rsid w:val="00504A24"/>
    <w:rsid w:val="00504AC6"/>
    <w:rsid w:val="00504CFB"/>
    <w:rsid w:val="00504D66"/>
    <w:rsid w:val="00504D75"/>
    <w:rsid w:val="00504DF6"/>
    <w:rsid w:val="00505059"/>
    <w:rsid w:val="005050F1"/>
    <w:rsid w:val="005059A9"/>
    <w:rsid w:val="00505B3F"/>
    <w:rsid w:val="00505B70"/>
    <w:rsid w:val="00505BFF"/>
    <w:rsid w:val="00505D51"/>
    <w:rsid w:val="00505FAA"/>
    <w:rsid w:val="005062A0"/>
    <w:rsid w:val="005079ED"/>
    <w:rsid w:val="00507D54"/>
    <w:rsid w:val="00510ABC"/>
    <w:rsid w:val="00510E66"/>
    <w:rsid w:val="00511079"/>
    <w:rsid w:val="00511411"/>
    <w:rsid w:val="00511745"/>
    <w:rsid w:val="0051179C"/>
    <w:rsid w:val="0051187E"/>
    <w:rsid w:val="00511CDF"/>
    <w:rsid w:val="00511D4D"/>
    <w:rsid w:val="00511E91"/>
    <w:rsid w:val="00511EB3"/>
    <w:rsid w:val="0051242C"/>
    <w:rsid w:val="00512829"/>
    <w:rsid w:val="00512895"/>
    <w:rsid w:val="005129A2"/>
    <w:rsid w:val="005130E5"/>
    <w:rsid w:val="00513308"/>
    <w:rsid w:val="005134C8"/>
    <w:rsid w:val="00513839"/>
    <w:rsid w:val="005138D9"/>
    <w:rsid w:val="00513A78"/>
    <w:rsid w:val="00513DEF"/>
    <w:rsid w:val="00514237"/>
    <w:rsid w:val="0051423C"/>
    <w:rsid w:val="005146E7"/>
    <w:rsid w:val="005148D4"/>
    <w:rsid w:val="00514A99"/>
    <w:rsid w:val="00514C91"/>
    <w:rsid w:val="005153CE"/>
    <w:rsid w:val="00515404"/>
    <w:rsid w:val="00515513"/>
    <w:rsid w:val="00515B7A"/>
    <w:rsid w:val="00515DC1"/>
    <w:rsid w:val="00515ECA"/>
    <w:rsid w:val="00516241"/>
    <w:rsid w:val="005164CE"/>
    <w:rsid w:val="005169CC"/>
    <w:rsid w:val="00516BDB"/>
    <w:rsid w:val="00516C8A"/>
    <w:rsid w:val="00516F0C"/>
    <w:rsid w:val="00516FD9"/>
    <w:rsid w:val="0051701F"/>
    <w:rsid w:val="005172A4"/>
    <w:rsid w:val="00517522"/>
    <w:rsid w:val="0051791D"/>
    <w:rsid w:val="00517A2E"/>
    <w:rsid w:val="00520A86"/>
    <w:rsid w:val="00520D6D"/>
    <w:rsid w:val="00520DCB"/>
    <w:rsid w:val="00520E14"/>
    <w:rsid w:val="00520FD7"/>
    <w:rsid w:val="005212FD"/>
    <w:rsid w:val="0052134B"/>
    <w:rsid w:val="00521425"/>
    <w:rsid w:val="0052144A"/>
    <w:rsid w:val="005216D0"/>
    <w:rsid w:val="0052187C"/>
    <w:rsid w:val="005218A2"/>
    <w:rsid w:val="00522059"/>
    <w:rsid w:val="00522138"/>
    <w:rsid w:val="005221C3"/>
    <w:rsid w:val="005222C7"/>
    <w:rsid w:val="0052248D"/>
    <w:rsid w:val="005228FA"/>
    <w:rsid w:val="00523258"/>
    <w:rsid w:val="00523712"/>
    <w:rsid w:val="00523AF6"/>
    <w:rsid w:val="00523DC5"/>
    <w:rsid w:val="00523E75"/>
    <w:rsid w:val="005240B4"/>
    <w:rsid w:val="0052410D"/>
    <w:rsid w:val="00524144"/>
    <w:rsid w:val="0052435E"/>
    <w:rsid w:val="005243E0"/>
    <w:rsid w:val="00524E59"/>
    <w:rsid w:val="00525303"/>
    <w:rsid w:val="0052532F"/>
    <w:rsid w:val="005256F3"/>
    <w:rsid w:val="00525797"/>
    <w:rsid w:val="00525A26"/>
    <w:rsid w:val="00525B71"/>
    <w:rsid w:val="00525DD0"/>
    <w:rsid w:val="005265A3"/>
    <w:rsid w:val="00526714"/>
    <w:rsid w:val="00526783"/>
    <w:rsid w:val="00526FBE"/>
    <w:rsid w:val="005274B7"/>
    <w:rsid w:val="0052773A"/>
    <w:rsid w:val="00527FB1"/>
    <w:rsid w:val="0053004B"/>
    <w:rsid w:val="00530423"/>
    <w:rsid w:val="00530443"/>
    <w:rsid w:val="005304FD"/>
    <w:rsid w:val="005305FB"/>
    <w:rsid w:val="00530BD2"/>
    <w:rsid w:val="0053107E"/>
    <w:rsid w:val="005312CB"/>
    <w:rsid w:val="00531345"/>
    <w:rsid w:val="005314F2"/>
    <w:rsid w:val="005315B3"/>
    <w:rsid w:val="00531606"/>
    <w:rsid w:val="0053162F"/>
    <w:rsid w:val="0053165E"/>
    <w:rsid w:val="00531777"/>
    <w:rsid w:val="00531BF2"/>
    <w:rsid w:val="00531D88"/>
    <w:rsid w:val="005325B6"/>
    <w:rsid w:val="005326E4"/>
    <w:rsid w:val="0053281C"/>
    <w:rsid w:val="00532A7C"/>
    <w:rsid w:val="00532A81"/>
    <w:rsid w:val="00532AD0"/>
    <w:rsid w:val="00532CA8"/>
    <w:rsid w:val="00532CC5"/>
    <w:rsid w:val="0053311D"/>
    <w:rsid w:val="005334F0"/>
    <w:rsid w:val="00533602"/>
    <w:rsid w:val="0053367D"/>
    <w:rsid w:val="0053369E"/>
    <w:rsid w:val="00533B93"/>
    <w:rsid w:val="00533BA1"/>
    <w:rsid w:val="00533E22"/>
    <w:rsid w:val="00533FA8"/>
    <w:rsid w:val="00533FF6"/>
    <w:rsid w:val="005340C9"/>
    <w:rsid w:val="00534666"/>
    <w:rsid w:val="005346E5"/>
    <w:rsid w:val="00534815"/>
    <w:rsid w:val="00534A43"/>
    <w:rsid w:val="00534D94"/>
    <w:rsid w:val="005352E9"/>
    <w:rsid w:val="0053552B"/>
    <w:rsid w:val="00535853"/>
    <w:rsid w:val="00535B1D"/>
    <w:rsid w:val="00535C8C"/>
    <w:rsid w:val="00535F46"/>
    <w:rsid w:val="0053619D"/>
    <w:rsid w:val="005364E4"/>
    <w:rsid w:val="00536698"/>
    <w:rsid w:val="005371DB"/>
    <w:rsid w:val="005375FE"/>
    <w:rsid w:val="00537E7C"/>
    <w:rsid w:val="005400F0"/>
    <w:rsid w:val="005402C7"/>
    <w:rsid w:val="005403F7"/>
    <w:rsid w:val="0054065D"/>
    <w:rsid w:val="00540982"/>
    <w:rsid w:val="005409F4"/>
    <w:rsid w:val="00540BFC"/>
    <w:rsid w:val="00541036"/>
    <w:rsid w:val="00541043"/>
    <w:rsid w:val="005411DB"/>
    <w:rsid w:val="0054195A"/>
    <w:rsid w:val="00541983"/>
    <w:rsid w:val="005420DE"/>
    <w:rsid w:val="00542249"/>
    <w:rsid w:val="005424AC"/>
    <w:rsid w:val="00542623"/>
    <w:rsid w:val="005426AD"/>
    <w:rsid w:val="00542719"/>
    <w:rsid w:val="00542892"/>
    <w:rsid w:val="00542BF2"/>
    <w:rsid w:val="00542FAA"/>
    <w:rsid w:val="005431F5"/>
    <w:rsid w:val="005435C1"/>
    <w:rsid w:val="0054360A"/>
    <w:rsid w:val="00543707"/>
    <w:rsid w:val="0054396F"/>
    <w:rsid w:val="005439D2"/>
    <w:rsid w:val="00543CBC"/>
    <w:rsid w:val="00543EBB"/>
    <w:rsid w:val="00544090"/>
    <w:rsid w:val="0054417A"/>
    <w:rsid w:val="00544213"/>
    <w:rsid w:val="005443FE"/>
    <w:rsid w:val="0054486D"/>
    <w:rsid w:val="00544D88"/>
    <w:rsid w:val="005453A6"/>
    <w:rsid w:val="005453F3"/>
    <w:rsid w:val="005453F8"/>
    <w:rsid w:val="00545549"/>
    <w:rsid w:val="005456E7"/>
    <w:rsid w:val="00545869"/>
    <w:rsid w:val="005463BB"/>
    <w:rsid w:val="005464BE"/>
    <w:rsid w:val="0054676C"/>
    <w:rsid w:val="005468D2"/>
    <w:rsid w:val="0054697A"/>
    <w:rsid w:val="005469F5"/>
    <w:rsid w:val="00546BBC"/>
    <w:rsid w:val="00546CCC"/>
    <w:rsid w:val="00546F36"/>
    <w:rsid w:val="0054740C"/>
    <w:rsid w:val="005477E2"/>
    <w:rsid w:val="00547E91"/>
    <w:rsid w:val="00547F97"/>
    <w:rsid w:val="00550109"/>
    <w:rsid w:val="0055038F"/>
    <w:rsid w:val="0055098C"/>
    <w:rsid w:val="00550993"/>
    <w:rsid w:val="00550A4F"/>
    <w:rsid w:val="00550B91"/>
    <w:rsid w:val="005514D9"/>
    <w:rsid w:val="005518ED"/>
    <w:rsid w:val="00551F4C"/>
    <w:rsid w:val="00552093"/>
    <w:rsid w:val="0055216F"/>
    <w:rsid w:val="005521CD"/>
    <w:rsid w:val="00552517"/>
    <w:rsid w:val="00552C36"/>
    <w:rsid w:val="00552F0E"/>
    <w:rsid w:val="00552FE3"/>
    <w:rsid w:val="00553148"/>
    <w:rsid w:val="00553643"/>
    <w:rsid w:val="0055378A"/>
    <w:rsid w:val="00553BA2"/>
    <w:rsid w:val="005542D7"/>
    <w:rsid w:val="00554458"/>
    <w:rsid w:val="00554590"/>
    <w:rsid w:val="005545C0"/>
    <w:rsid w:val="0055478B"/>
    <w:rsid w:val="00554C49"/>
    <w:rsid w:val="00554E06"/>
    <w:rsid w:val="00554E4B"/>
    <w:rsid w:val="00555161"/>
    <w:rsid w:val="0055519C"/>
    <w:rsid w:val="00555357"/>
    <w:rsid w:val="005554C1"/>
    <w:rsid w:val="0055556E"/>
    <w:rsid w:val="005556AE"/>
    <w:rsid w:val="005556CC"/>
    <w:rsid w:val="0055596D"/>
    <w:rsid w:val="00555A10"/>
    <w:rsid w:val="00555B00"/>
    <w:rsid w:val="00555CEB"/>
    <w:rsid w:val="00555F67"/>
    <w:rsid w:val="00555FEA"/>
    <w:rsid w:val="00556034"/>
    <w:rsid w:val="0055638B"/>
    <w:rsid w:val="00556E02"/>
    <w:rsid w:val="00556E32"/>
    <w:rsid w:val="00557146"/>
    <w:rsid w:val="00557472"/>
    <w:rsid w:val="005574A3"/>
    <w:rsid w:val="00557917"/>
    <w:rsid w:val="0055797B"/>
    <w:rsid w:val="0056031A"/>
    <w:rsid w:val="005604F1"/>
    <w:rsid w:val="005606A4"/>
    <w:rsid w:val="005607B8"/>
    <w:rsid w:val="00560A28"/>
    <w:rsid w:val="00560CF5"/>
    <w:rsid w:val="005610BD"/>
    <w:rsid w:val="005610C4"/>
    <w:rsid w:val="005613D8"/>
    <w:rsid w:val="00561424"/>
    <w:rsid w:val="00561637"/>
    <w:rsid w:val="005619CB"/>
    <w:rsid w:val="00561B11"/>
    <w:rsid w:val="00562307"/>
    <w:rsid w:val="00562653"/>
    <w:rsid w:val="00562724"/>
    <w:rsid w:val="0056272D"/>
    <w:rsid w:val="00562951"/>
    <w:rsid w:val="00562BAB"/>
    <w:rsid w:val="00563047"/>
    <w:rsid w:val="0056304F"/>
    <w:rsid w:val="0056308E"/>
    <w:rsid w:val="005633F7"/>
    <w:rsid w:val="005634E2"/>
    <w:rsid w:val="005635B8"/>
    <w:rsid w:val="005638C1"/>
    <w:rsid w:val="00563C05"/>
    <w:rsid w:val="00563DD6"/>
    <w:rsid w:val="00563F16"/>
    <w:rsid w:val="0056415C"/>
    <w:rsid w:val="00564840"/>
    <w:rsid w:val="005649BF"/>
    <w:rsid w:val="00564D94"/>
    <w:rsid w:val="00564DA7"/>
    <w:rsid w:val="005650ED"/>
    <w:rsid w:val="00565869"/>
    <w:rsid w:val="00565EB2"/>
    <w:rsid w:val="00565FE1"/>
    <w:rsid w:val="005664C1"/>
    <w:rsid w:val="00566645"/>
    <w:rsid w:val="005669F3"/>
    <w:rsid w:val="00566BB3"/>
    <w:rsid w:val="00566C02"/>
    <w:rsid w:val="00566FFB"/>
    <w:rsid w:val="00567161"/>
    <w:rsid w:val="005671DC"/>
    <w:rsid w:val="00567415"/>
    <w:rsid w:val="00567610"/>
    <w:rsid w:val="00567B38"/>
    <w:rsid w:val="0057022F"/>
    <w:rsid w:val="0057054B"/>
    <w:rsid w:val="00570729"/>
    <w:rsid w:val="00570886"/>
    <w:rsid w:val="005708DE"/>
    <w:rsid w:val="0057092C"/>
    <w:rsid w:val="005709F1"/>
    <w:rsid w:val="00570D9F"/>
    <w:rsid w:val="00571689"/>
    <w:rsid w:val="00571753"/>
    <w:rsid w:val="0057185C"/>
    <w:rsid w:val="00571B8D"/>
    <w:rsid w:val="00571BBF"/>
    <w:rsid w:val="00571CA8"/>
    <w:rsid w:val="00571D15"/>
    <w:rsid w:val="00571D5F"/>
    <w:rsid w:val="00571EB0"/>
    <w:rsid w:val="00571F78"/>
    <w:rsid w:val="00571FA7"/>
    <w:rsid w:val="005725E4"/>
    <w:rsid w:val="00572831"/>
    <w:rsid w:val="00572947"/>
    <w:rsid w:val="00572B47"/>
    <w:rsid w:val="00572C6C"/>
    <w:rsid w:val="00572C93"/>
    <w:rsid w:val="00572F70"/>
    <w:rsid w:val="00572F83"/>
    <w:rsid w:val="00573138"/>
    <w:rsid w:val="005733B3"/>
    <w:rsid w:val="005734A7"/>
    <w:rsid w:val="00573968"/>
    <w:rsid w:val="00573A13"/>
    <w:rsid w:val="00573E3F"/>
    <w:rsid w:val="00573F88"/>
    <w:rsid w:val="005746C4"/>
    <w:rsid w:val="00574AB0"/>
    <w:rsid w:val="00574B50"/>
    <w:rsid w:val="00574EFF"/>
    <w:rsid w:val="00575DF4"/>
    <w:rsid w:val="005763DE"/>
    <w:rsid w:val="00576492"/>
    <w:rsid w:val="005764CD"/>
    <w:rsid w:val="00576645"/>
    <w:rsid w:val="00576C8A"/>
    <w:rsid w:val="00576FE7"/>
    <w:rsid w:val="005772B8"/>
    <w:rsid w:val="005772ED"/>
    <w:rsid w:val="00577579"/>
    <w:rsid w:val="00577649"/>
    <w:rsid w:val="00577835"/>
    <w:rsid w:val="00577CF8"/>
    <w:rsid w:val="005801A3"/>
    <w:rsid w:val="00580793"/>
    <w:rsid w:val="005807C1"/>
    <w:rsid w:val="005809BD"/>
    <w:rsid w:val="00580BC3"/>
    <w:rsid w:val="00580E28"/>
    <w:rsid w:val="00580EB9"/>
    <w:rsid w:val="00580FE3"/>
    <w:rsid w:val="00581391"/>
    <w:rsid w:val="00581470"/>
    <w:rsid w:val="005816E6"/>
    <w:rsid w:val="00581B62"/>
    <w:rsid w:val="00581BAD"/>
    <w:rsid w:val="00581D62"/>
    <w:rsid w:val="00581DEA"/>
    <w:rsid w:val="00581EB4"/>
    <w:rsid w:val="00581F0C"/>
    <w:rsid w:val="00581F6F"/>
    <w:rsid w:val="0058207C"/>
    <w:rsid w:val="00582087"/>
    <w:rsid w:val="005820D9"/>
    <w:rsid w:val="00582664"/>
    <w:rsid w:val="00582986"/>
    <w:rsid w:val="005829B8"/>
    <w:rsid w:val="00582DEE"/>
    <w:rsid w:val="00582F21"/>
    <w:rsid w:val="005831DD"/>
    <w:rsid w:val="005833E3"/>
    <w:rsid w:val="0058369D"/>
    <w:rsid w:val="00583C94"/>
    <w:rsid w:val="00583F2E"/>
    <w:rsid w:val="005840E1"/>
    <w:rsid w:val="00584320"/>
    <w:rsid w:val="00584A12"/>
    <w:rsid w:val="00584ABA"/>
    <w:rsid w:val="00584CB8"/>
    <w:rsid w:val="00585484"/>
    <w:rsid w:val="00585677"/>
    <w:rsid w:val="00585F5C"/>
    <w:rsid w:val="005860E0"/>
    <w:rsid w:val="00586104"/>
    <w:rsid w:val="00586A0A"/>
    <w:rsid w:val="00587035"/>
    <w:rsid w:val="00587191"/>
    <w:rsid w:val="00587229"/>
    <w:rsid w:val="0058727F"/>
    <w:rsid w:val="00587320"/>
    <w:rsid w:val="0058745F"/>
    <w:rsid w:val="00587503"/>
    <w:rsid w:val="00587601"/>
    <w:rsid w:val="00587A81"/>
    <w:rsid w:val="00587C33"/>
    <w:rsid w:val="00587EE4"/>
    <w:rsid w:val="00587F7F"/>
    <w:rsid w:val="00590317"/>
    <w:rsid w:val="0059041E"/>
    <w:rsid w:val="005906AE"/>
    <w:rsid w:val="00590A52"/>
    <w:rsid w:val="00590BC2"/>
    <w:rsid w:val="00590E8D"/>
    <w:rsid w:val="0059120F"/>
    <w:rsid w:val="00591511"/>
    <w:rsid w:val="0059156D"/>
    <w:rsid w:val="0059181E"/>
    <w:rsid w:val="00591AE2"/>
    <w:rsid w:val="00591C54"/>
    <w:rsid w:val="00591E50"/>
    <w:rsid w:val="00591E76"/>
    <w:rsid w:val="0059210D"/>
    <w:rsid w:val="005921D5"/>
    <w:rsid w:val="005922C7"/>
    <w:rsid w:val="0059261B"/>
    <w:rsid w:val="0059293A"/>
    <w:rsid w:val="005929AB"/>
    <w:rsid w:val="00592C4C"/>
    <w:rsid w:val="00592CDA"/>
    <w:rsid w:val="00592EA9"/>
    <w:rsid w:val="0059331A"/>
    <w:rsid w:val="00593612"/>
    <w:rsid w:val="005939DB"/>
    <w:rsid w:val="00593A72"/>
    <w:rsid w:val="00593A7D"/>
    <w:rsid w:val="00594399"/>
    <w:rsid w:val="005944E5"/>
    <w:rsid w:val="005944E8"/>
    <w:rsid w:val="00594560"/>
    <w:rsid w:val="00594842"/>
    <w:rsid w:val="00594C23"/>
    <w:rsid w:val="00594D22"/>
    <w:rsid w:val="00594DB1"/>
    <w:rsid w:val="005952B2"/>
    <w:rsid w:val="005952E7"/>
    <w:rsid w:val="005954FB"/>
    <w:rsid w:val="005957B3"/>
    <w:rsid w:val="0059590C"/>
    <w:rsid w:val="00595A8C"/>
    <w:rsid w:val="00595C2C"/>
    <w:rsid w:val="00595C33"/>
    <w:rsid w:val="00595DCE"/>
    <w:rsid w:val="00595DE3"/>
    <w:rsid w:val="00595E0E"/>
    <w:rsid w:val="00595E96"/>
    <w:rsid w:val="00595F69"/>
    <w:rsid w:val="00595F9D"/>
    <w:rsid w:val="005962F6"/>
    <w:rsid w:val="00596388"/>
    <w:rsid w:val="00596AAF"/>
    <w:rsid w:val="00596BBA"/>
    <w:rsid w:val="00596DB8"/>
    <w:rsid w:val="005970EA"/>
    <w:rsid w:val="005972BE"/>
    <w:rsid w:val="00597386"/>
    <w:rsid w:val="005975C4"/>
    <w:rsid w:val="005978B6"/>
    <w:rsid w:val="00597D77"/>
    <w:rsid w:val="00597DE3"/>
    <w:rsid w:val="00597ED8"/>
    <w:rsid w:val="005A00FD"/>
    <w:rsid w:val="005A03FC"/>
    <w:rsid w:val="005A0F12"/>
    <w:rsid w:val="005A1266"/>
    <w:rsid w:val="005A16B5"/>
    <w:rsid w:val="005A16F0"/>
    <w:rsid w:val="005A17AE"/>
    <w:rsid w:val="005A1974"/>
    <w:rsid w:val="005A1A00"/>
    <w:rsid w:val="005A1F30"/>
    <w:rsid w:val="005A2934"/>
    <w:rsid w:val="005A2B20"/>
    <w:rsid w:val="005A2B5F"/>
    <w:rsid w:val="005A34D5"/>
    <w:rsid w:val="005A3507"/>
    <w:rsid w:val="005A3943"/>
    <w:rsid w:val="005A3A22"/>
    <w:rsid w:val="005A41AD"/>
    <w:rsid w:val="005A42EB"/>
    <w:rsid w:val="005A43DF"/>
    <w:rsid w:val="005A460C"/>
    <w:rsid w:val="005A4678"/>
    <w:rsid w:val="005A4904"/>
    <w:rsid w:val="005A4A8B"/>
    <w:rsid w:val="005A4B13"/>
    <w:rsid w:val="005A4E23"/>
    <w:rsid w:val="005A4FE2"/>
    <w:rsid w:val="005A515A"/>
    <w:rsid w:val="005A5355"/>
    <w:rsid w:val="005A58B6"/>
    <w:rsid w:val="005A598F"/>
    <w:rsid w:val="005A61B6"/>
    <w:rsid w:val="005A62A7"/>
    <w:rsid w:val="005A6477"/>
    <w:rsid w:val="005A66E9"/>
    <w:rsid w:val="005A6831"/>
    <w:rsid w:val="005A704D"/>
    <w:rsid w:val="005A7227"/>
    <w:rsid w:val="005A7311"/>
    <w:rsid w:val="005A7C2E"/>
    <w:rsid w:val="005A7F15"/>
    <w:rsid w:val="005A7FE0"/>
    <w:rsid w:val="005B0074"/>
    <w:rsid w:val="005B0902"/>
    <w:rsid w:val="005B098A"/>
    <w:rsid w:val="005B0BD3"/>
    <w:rsid w:val="005B0EB5"/>
    <w:rsid w:val="005B16B5"/>
    <w:rsid w:val="005B1CB4"/>
    <w:rsid w:val="005B1F99"/>
    <w:rsid w:val="005B2F3A"/>
    <w:rsid w:val="005B32F0"/>
    <w:rsid w:val="005B3341"/>
    <w:rsid w:val="005B3493"/>
    <w:rsid w:val="005B3704"/>
    <w:rsid w:val="005B3881"/>
    <w:rsid w:val="005B39D4"/>
    <w:rsid w:val="005B3A38"/>
    <w:rsid w:val="005B3C6D"/>
    <w:rsid w:val="005B3D52"/>
    <w:rsid w:val="005B3F28"/>
    <w:rsid w:val="005B3F3F"/>
    <w:rsid w:val="005B4045"/>
    <w:rsid w:val="005B408C"/>
    <w:rsid w:val="005B40A6"/>
    <w:rsid w:val="005B4118"/>
    <w:rsid w:val="005B4247"/>
    <w:rsid w:val="005B4501"/>
    <w:rsid w:val="005B4F46"/>
    <w:rsid w:val="005B5101"/>
    <w:rsid w:val="005B52B3"/>
    <w:rsid w:val="005B5531"/>
    <w:rsid w:val="005B5CA0"/>
    <w:rsid w:val="005B5E6B"/>
    <w:rsid w:val="005B609E"/>
    <w:rsid w:val="005B60F1"/>
    <w:rsid w:val="005B6569"/>
    <w:rsid w:val="005B65CE"/>
    <w:rsid w:val="005B6887"/>
    <w:rsid w:val="005B6973"/>
    <w:rsid w:val="005B6B29"/>
    <w:rsid w:val="005B6B40"/>
    <w:rsid w:val="005B6BA8"/>
    <w:rsid w:val="005B6DF6"/>
    <w:rsid w:val="005B70AC"/>
    <w:rsid w:val="005B71A1"/>
    <w:rsid w:val="005B786D"/>
    <w:rsid w:val="005B78B7"/>
    <w:rsid w:val="005B7B7D"/>
    <w:rsid w:val="005C01C7"/>
    <w:rsid w:val="005C06BC"/>
    <w:rsid w:val="005C087A"/>
    <w:rsid w:val="005C0A7D"/>
    <w:rsid w:val="005C0D37"/>
    <w:rsid w:val="005C0EE0"/>
    <w:rsid w:val="005C1039"/>
    <w:rsid w:val="005C11A1"/>
    <w:rsid w:val="005C1290"/>
    <w:rsid w:val="005C140B"/>
    <w:rsid w:val="005C1425"/>
    <w:rsid w:val="005C1948"/>
    <w:rsid w:val="005C1E43"/>
    <w:rsid w:val="005C22F9"/>
    <w:rsid w:val="005C263C"/>
    <w:rsid w:val="005C2679"/>
    <w:rsid w:val="005C276A"/>
    <w:rsid w:val="005C2861"/>
    <w:rsid w:val="005C298C"/>
    <w:rsid w:val="005C2F32"/>
    <w:rsid w:val="005C35F8"/>
    <w:rsid w:val="005C3CE0"/>
    <w:rsid w:val="005C3E4C"/>
    <w:rsid w:val="005C43B1"/>
    <w:rsid w:val="005C4482"/>
    <w:rsid w:val="005C472F"/>
    <w:rsid w:val="005C499F"/>
    <w:rsid w:val="005C4BFB"/>
    <w:rsid w:val="005C4C4D"/>
    <w:rsid w:val="005C4F12"/>
    <w:rsid w:val="005C4FAE"/>
    <w:rsid w:val="005C52EF"/>
    <w:rsid w:val="005C55F8"/>
    <w:rsid w:val="005C5870"/>
    <w:rsid w:val="005C5982"/>
    <w:rsid w:val="005C5A52"/>
    <w:rsid w:val="005C5AA4"/>
    <w:rsid w:val="005C6960"/>
    <w:rsid w:val="005C6C1C"/>
    <w:rsid w:val="005C6C2C"/>
    <w:rsid w:val="005C6D95"/>
    <w:rsid w:val="005C7079"/>
    <w:rsid w:val="005C71EE"/>
    <w:rsid w:val="005C7326"/>
    <w:rsid w:val="005C7327"/>
    <w:rsid w:val="005C7473"/>
    <w:rsid w:val="005C74F7"/>
    <w:rsid w:val="005C7A24"/>
    <w:rsid w:val="005D03D8"/>
    <w:rsid w:val="005D059A"/>
    <w:rsid w:val="005D07C5"/>
    <w:rsid w:val="005D088E"/>
    <w:rsid w:val="005D0ABB"/>
    <w:rsid w:val="005D0AC2"/>
    <w:rsid w:val="005D0E7B"/>
    <w:rsid w:val="005D1301"/>
    <w:rsid w:val="005D1AF1"/>
    <w:rsid w:val="005D1B42"/>
    <w:rsid w:val="005D21B7"/>
    <w:rsid w:val="005D2245"/>
    <w:rsid w:val="005D2BD1"/>
    <w:rsid w:val="005D2C00"/>
    <w:rsid w:val="005D2DAD"/>
    <w:rsid w:val="005D2F42"/>
    <w:rsid w:val="005D3105"/>
    <w:rsid w:val="005D312F"/>
    <w:rsid w:val="005D3542"/>
    <w:rsid w:val="005D3943"/>
    <w:rsid w:val="005D3F60"/>
    <w:rsid w:val="005D4302"/>
    <w:rsid w:val="005D463E"/>
    <w:rsid w:val="005D4932"/>
    <w:rsid w:val="005D4F2E"/>
    <w:rsid w:val="005D5171"/>
    <w:rsid w:val="005D5424"/>
    <w:rsid w:val="005D554E"/>
    <w:rsid w:val="005D5716"/>
    <w:rsid w:val="005D5845"/>
    <w:rsid w:val="005D5A20"/>
    <w:rsid w:val="005D5FDF"/>
    <w:rsid w:val="005D6554"/>
    <w:rsid w:val="005D6A4B"/>
    <w:rsid w:val="005D6EE1"/>
    <w:rsid w:val="005D7344"/>
    <w:rsid w:val="005D766E"/>
    <w:rsid w:val="005D786C"/>
    <w:rsid w:val="005D7892"/>
    <w:rsid w:val="005E00E5"/>
    <w:rsid w:val="005E00F6"/>
    <w:rsid w:val="005E0148"/>
    <w:rsid w:val="005E049F"/>
    <w:rsid w:val="005E06AB"/>
    <w:rsid w:val="005E0BB6"/>
    <w:rsid w:val="005E0BBB"/>
    <w:rsid w:val="005E1327"/>
    <w:rsid w:val="005E1456"/>
    <w:rsid w:val="005E1873"/>
    <w:rsid w:val="005E2117"/>
    <w:rsid w:val="005E2A75"/>
    <w:rsid w:val="005E2BAD"/>
    <w:rsid w:val="005E2CB5"/>
    <w:rsid w:val="005E2D19"/>
    <w:rsid w:val="005E2E06"/>
    <w:rsid w:val="005E3073"/>
    <w:rsid w:val="005E316A"/>
    <w:rsid w:val="005E326C"/>
    <w:rsid w:val="005E3C6D"/>
    <w:rsid w:val="005E4015"/>
    <w:rsid w:val="005E411A"/>
    <w:rsid w:val="005E473D"/>
    <w:rsid w:val="005E47C8"/>
    <w:rsid w:val="005E4BB7"/>
    <w:rsid w:val="005E4DEC"/>
    <w:rsid w:val="005E4E0F"/>
    <w:rsid w:val="005E52AC"/>
    <w:rsid w:val="005E53D1"/>
    <w:rsid w:val="005E56CC"/>
    <w:rsid w:val="005E5A97"/>
    <w:rsid w:val="005E631E"/>
    <w:rsid w:val="005E63B6"/>
    <w:rsid w:val="005E6440"/>
    <w:rsid w:val="005E6878"/>
    <w:rsid w:val="005E6C50"/>
    <w:rsid w:val="005E6CCB"/>
    <w:rsid w:val="005E6CED"/>
    <w:rsid w:val="005E6D99"/>
    <w:rsid w:val="005E6FC3"/>
    <w:rsid w:val="005E7088"/>
    <w:rsid w:val="005E725F"/>
    <w:rsid w:val="005E74A4"/>
    <w:rsid w:val="005E7C60"/>
    <w:rsid w:val="005E7E1B"/>
    <w:rsid w:val="005E7E6D"/>
    <w:rsid w:val="005E7FDE"/>
    <w:rsid w:val="005F0108"/>
    <w:rsid w:val="005F0291"/>
    <w:rsid w:val="005F04B9"/>
    <w:rsid w:val="005F0A1F"/>
    <w:rsid w:val="005F0A2C"/>
    <w:rsid w:val="005F0ECC"/>
    <w:rsid w:val="005F13A8"/>
    <w:rsid w:val="005F13B6"/>
    <w:rsid w:val="005F1F67"/>
    <w:rsid w:val="005F1FFE"/>
    <w:rsid w:val="005F21A5"/>
    <w:rsid w:val="005F2470"/>
    <w:rsid w:val="005F2615"/>
    <w:rsid w:val="005F261E"/>
    <w:rsid w:val="005F28C6"/>
    <w:rsid w:val="005F292B"/>
    <w:rsid w:val="005F3C8B"/>
    <w:rsid w:val="005F3F16"/>
    <w:rsid w:val="005F40A1"/>
    <w:rsid w:val="005F4774"/>
    <w:rsid w:val="005F4D4A"/>
    <w:rsid w:val="005F4D7E"/>
    <w:rsid w:val="005F52CC"/>
    <w:rsid w:val="005F5391"/>
    <w:rsid w:val="005F53F4"/>
    <w:rsid w:val="005F5589"/>
    <w:rsid w:val="005F5729"/>
    <w:rsid w:val="005F593E"/>
    <w:rsid w:val="005F5CCB"/>
    <w:rsid w:val="005F5E6F"/>
    <w:rsid w:val="005F605F"/>
    <w:rsid w:val="005F61A5"/>
    <w:rsid w:val="005F62BE"/>
    <w:rsid w:val="005F6510"/>
    <w:rsid w:val="005F674B"/>
    <w:rsid w:val="005F681C"/>
    <w:rsid w:val="005F69B8"/>
    <w:rsid w:val="005F6AC3"/>
    <w:rsid w:val="005F6BD4"/>
    <w:rsid w:val="005F7188"/>
    <w:rsid w:val="005F7985"/>
    <w:rsid w:val="005F79AE"/>
    <w:rsid w:val="005F7A70"/>
    <w:rsid w:val="005F7EF5"/>
    <w:rsid w:val="006004F1"/>
    <w:rsid w:val="0060082C"/>
    <w:rsid w:val="0060094A"/>
    <w:rsid w:val="006009ED"/>
    <w:rsid w:val="00600CEB"/>
    <w:rsid w:val="006011D7"/>
    <w:rsid w:val="00601557"/>
    <w:rsid w:val="00601861"/>
    <w:rsid w:val="00602352"/>
    <w:rsid w:val="0060291B"/>
    <w:rsid w:val="00602A78"/>
    <w:rsid w:val="00602A84"/>
    <w:rsid w:val="00602AA1"/>
    <w:rsid w:val="00603123"/>
    <w:rsid w:val="006031B0"/>
    <w:rsid w:val="0060338F"/>
    <w:rsid w:val="006034A2"/>
    <w:rsid w:val="0060368C"/>
    <w:rsid w:val="006036F4"/>
    <w:rsid w:val="0060370E"/>
    <w:rsid w:val="006038AA"/>
    <w:rsid w:val="00603BD0"/>
    <w:rsid w:val="00603CBA"/>
    <w:rsid w:val="00603FC8"/>
    <w:rsid w:val="00604151"/>
    <w:rsid w:val="00604367"/>
    <w:rsid w:val="006044BE"/>
    <w:rsid w:val="00604594"/>
    <w:rsid w:val="0060475F"/>
    <w:rsid w:val="006047DF"/>
    <w:rsid w:val="00604804"/>
    <w:rsid w:val="006048D2"/>
    <w:rsid w:val="00604927"/>
    <w:rsid w:val="00604DE1"/>
    <w:rsid w:val="00604EBD"/>
    <w:rsid w:val="00604EC2"/>
    <w:rsid w:val="00604F84"/>
    <w:rsid w:val="006056BE"/>
    <w:rsid w:val="006060C2"/>
    <w:rsid w:val="00606250"/>
    <w:rsid w:val="00606353"/>
    <w:rsid w:val="0060650E"/>
    <w:rsid w:val="0060663E"/>
    <w:rsid w:val="0060691B"/>
    <w:rsid w:val="00606A26"/>
    <w:rsid w:val="00606B11"/>
    <w:rsid w:val="00606C96"/>
    <w:rsid w:val="00607045"/>
    <w:rsid w:val="0060767B"/>
    <w:rsid w:val="00607716"/>
    <w:rsid w:val="00607B4A"/>
    <w:rsid w:val="00607C02"/>
    <w:rsid w:val="00607D81"/>
    <w:rsid w:val="00607DC3"/>
    <w:rsid w:val="00607EAD"/>
    <w:rsid w:val="006105A2"/>
    <w:rsid w:val="006106F0"/>
    <w:rsid w:val="00610747"/>
    <w:rsid w:val="00610914"/>
    <w:rsid w:val="00610B92"/>
    <w:rsid w:val="00610E03"/>
    <w:rsid w:val="0061176E"/>
    <w:rsid w:val="00611C83"/>
    <w:rsid w:val="00611EA6"/>
    <w:rsid w:val="00611F59"/>
    <w:rsid w:val="00612162"/>
    <w:rsid w:val="00612248"/>
    <w:rsid w:val="006122EB"/>
    <w:rsid w:val="00612CB0"/>
    <w:rsid w:val="00612E0F"/>
    <w:rsid w:val="00613508"/>
    <w:rsid w:val="00613EA5"/>
    <w:rsid w:val="00613FBB"/>
    <w:rsid w:val="0061498F"/>
    <w:rsid w:val="006149D1"/>
    <w:rsid w:val="00614CD1"/>
    <w:rsid w:val="006151F2"/>
    <w:rsid w:val="006153F5"/>
    <w:rsid w:val="0061567B"/>
    <w:rsid w:val="006157BE"/>
    <w:rsid w:val="006159CC"/>
    <w:rsid w:val="00615A57"/>
    <w:rsid w:val="00615AC8"/>
    <w:rsid w:val="00615C01"/>
    <w:rsid w:val="00615F06"/>
    <w:rsid w:val="00616322"/>
    <w:rsid w:val="00616418"/>
    <w:rsid w:val="00616712"/>
    <w:rsid w:val="00616F48"/>
    <w:rsid w:val="00617416"/>
    <w:rsid w:val="006175FC"/>
    <w:rsid w:val="0061783E"/>
    <w:rsid w:val="00617BB2"/>
    <w:rsid w:val="00620CCF"/>
    <w:rsid w:val="00621189"/>
    <w:rsid w:val="006212D6"/>
    <w:rsid w:val="0062152A"/>
    <w:rsid w:val="00621753"/>
    <w:rsid w:val="00621808"/>
    <w:rsid w:val="00621833"/>
    <w:rsid w:val="006225B8"/>
    <w:rsid w:val="006228DE"/>
    <w:rsid w:val="00622907"/>
    <w:rsid w:val="006229D6"/>
    <w:rsid w:val="00622A16"/>
    <w:rsid w:val="00622A84"/>
    <w:rsid w:val="00622CDC"/>
    <w:rsid w:val="00622D09"/>
    <w:rsid w:val="00622E6F"/>
    <w:rsid w:val="00622F2B"/>
    <w:rsid w:val="00623121"/>
    <w:rsid w:val="00623583"/>
    <w:rsid w:val="00623CED"/>
    <w:rsid w:val="00624091"/>
    <w:rsid w:val="006245E4"/>
    <w:rsid w:val="0062462F"/>
    <w:rsid w:val="00624BA1"/>
    <w:rsid w:val="00624EDF"/>
    <w:rsid w:val="006252D3"/>
    <w:rsid w:val="0062557C"/>
    <w:rsid w:val="00625AF2"/>
    <w:rsid w:val="00626598"/>
    <w:rsid w:val="0062661B"/>
    <w:rsid w:val="006268CB"/>
    <w:rsid w:val="00626EF4"/>
    <w:rsid w:val="006270F0"/>
    <w:rsid w:val="006271BB"/>
    <w:rsid w:val="00627221"/>
    <w:rsid w:val="006275E3"/>
    <w:rsid w:val="00627832"/>
    <w:rsid w:val="00627B1E"/>
    <w:rsid w:val="00627BF3"/>
    <w:rsid w:val="00630118"/>
    <w:rsid w:val="00630282"/>
    <w:rsid w:val="00630514"/>
    <w:rsid w:val="0063097D"/>
    <w:rsid w:val="00630E62"/>
    <w:rsid w:val="00630F22"/>
    <w:rsid w:val="006310AE"/>
    <w:rsid w:val="00631383"/>
    <w:rsid w:val="00631455"/>
    <w:rsid w:val="00631476"/>
    <w:rsid w:val="006316BD"/>
    <w:rsid w:val="00631762"/>
    <w:rsid w:val="006318EF"/>
    <w:rsid w:val="0063190A"/>
    <w:rsid w:val="006320EE"/>
    <w:rsid w:val="00632196"/>
    <w:rsid w:val="00632648"/>
    <w:rsid w:val="00632BA2"/>
    <w:rsid w:val="0063358A"/>
    <w:rsid w:val="00633BF2"/>
    <w:rsid w:val="00633F67"/>
    <w:rsid w:val="0063412B"/>
    <w:rsid w:val="00634457"/>
    <w:rsid w:val="006345C3"/>
    <w:rsid w:val="00634D4E"/>
    <w:rsid w:val="0063530F"/>
    <w:rsid w:val="0063538C"/>
    <w:rsid w:val="006353FC"/>
    <w:rsid w:val="00635544"/>
    <w:rsid w:val="006356E0"/>
    <w:rsid w:val="00635B0B"/>
    <w:rsid w:val="00635B7F"/>
    <w:rsid w:val="00635CC1"/>
    <w:rsid w:val="00636151"/>
    <w:rsid w:val="006362F9"/>
    <w:rsid w:val="00636470"/>
    <w:rsid w:val="0063671C"/>
    <w:rsid w:val="0063687E"/>
    <w:rsid w:val="00636900"/>
    <w:rsid w:val="006369A9"/>
    <w:rsid w:val="006370BA"/>
    <w:rsid w:val="006370C1"/>
    <w:rsid w:val="006373CD"/>
    <w:rsid w:val="00640EC6"/>
    <w:rsid w:val="00641004"/>
    <w:rsid w:val="006411DC"/>
    <w:rsid w:val="00641283"/>
    <w:rsid w:val="00641315"/>
    <w:rsid w:val="0064133E"/>
    <w:rsid w:val="006413CF"/>
    <w:rsid w:val="00641413"/>
    <w:rsid w:val="00641465"/>
    <w:rsid w:val="0064165D"/>
    <w:rsid w:val="00641957"/>
    <w:rsid w:val="00641D94"/>
    <w:rsid w:val="0064223F"/>
    <w:rsid w:val="0064227C"/>
    <w:rsid w:val="006422BF"/>
    <w:rsid w:val="006429EF"/>
    <w:rsid w:val="00642D0A"/>
    <w:rsid w:val="00642E8C"/>
    <w:rsid w:val="00642FAA"/>
    <w:rsid w:val="00643145"/>
    <w:rsid w:val="006433BD"/>
    <w:rsid w:val="00643562"/>
    <w:rsid w:val="00643784"/>
    <w:rsid w:val="006437EF"/>
    <w:rsid w:val="006437F8"/>
    <w:rsid w:val="00643819"/>
    <w:rsid w:val="00644186"/>
    <w:rsid w:val="00644900"/>
    <w:rsid w:val="00644A21"/>
    <w:rsid w:val="00645C9F"/>
    <w:rsid w:val="00646156"/>
    <w:rsid w:val="00646214"/>
    <w:rsid w:val="00646287"/>
    <w:rsid w:val="00646305"/>
    <w:rsid w:val="006463C8"/>
    <w:rsid w:val="006464DB"/>
    <w:rsid w:val="00646864"/>
    <w:rsid w:val="00646A6C"/>
    <w:rsid w:val="00646CA3"/>
    <w:rsid w:val="0064721B"/>
    <w:rsid w:val="0064725F"/>
    <w:rsid w:val="006475E6"/>
    <w:rsid w:val="00647779"/>
    <w:rsid w:val="00647792"/>
    <w:rsid w:val="006478BF"/>
    <w:rsid w:val="006478CE"/>
    <w:rsid w:val="00647A0E"/>
    <w:rsid w:val="00647A90"/>
    <w:rsid w:val="00647C75"/>
    <w:rsid w:val="0065007C"/>
    <w:rsid w:val="006508B9"/>
    <w:rsid w:val="006509C5"/>
    <w:rsid w:val="00650B29"/>
    <w:rsid w:val="00650CA1"/>
    <w:rsid w:val="00650E1C"/>
    <w:rsid w:val="0065108C"/>
    <w:rsid w:val="006512C6"/>
    <w:rsid w:val="0065143C"/>
    <w:rsid w:val="00651577"/>
    <w:rsid w:val="00651854"/>
    <w:rsid w:val="00651D5A"/>
    <w:rsid w:val="00652013"/>
    <w:rsid w:val="006520B4"/>
    <w:rsid w:val="00652578"/>
    <w:rsid w:val="00652AE8"/>
    <w:rsid w:val="00652B98"/>
    <w:rsid w:val="006531B8"/>
    <w:rsid w:val="006532EF"/>
    <w:rsid w:val="00653437"/>
    <w:rsid w:val="006534F0"/>
    <w:rsid w:val="006539E8"/>
    <w:rsid w:val="00653AE6"/>
    <w:rsid w:val="00653B4B"/>
    <w:rsid w:val="00653F12"/>
    <w:rsid w:val="006541DF"/>
    <w:rsid w:val="006545C7"/>
    <w:rsid w:val="00654A13"/>
    <w:rsid w:val="00654A4E"/>
    <w:rsid w:val="00654FCE"/>
    <w:rsid w:val="006552DB"/>
    <w:rsid w:val="0065586E"/>
    <w:rsid w:val="006558E8"/>
    <w:rsid w:val="00655B29"/>
    <w:rsid w:val="00655D3B"/>
    <w:rsid w:val="00655DB6"/>
    <w:rsid w:val="00656307"/>
    <w:rsid w:val="006564F4"/>
    <w:rsid w:val="006565D8"/>
    <w:rsid w:val="0065699D"/>
    <w:rsid w:val="00656B03"/>
    <w:rsid w:val="00656B96"/>
    <w:rsid w:val="00656EF8"/>
    <w:rsid w:val="00656F79"/>
    <w:rsid w:val="00656FFC"/>
    <w:rsid w:val="0065736B"/>
    <w:rsid w:val="006578E4"/>
    <w:rsid w:val="00657AE5"/>
    <w:rsid w:val="00657F4D"/>
    <w:rsid w:val="006608D6"/>
    <w:rsid w:val="00660AD2"/>
    <w:rsid w:val="00660BE4"/>
    <w:rsid w:val="00661159"/>
    <w:rsid w:val="0066140E"/>
    <w:rsid w:val="006619B0"/>
    <w:rsid w:val="00662012"/>
    <w:rsid w:val="00662096"/>
    <w:rsid w:val="00662543"/>
    <w:rsid w:val="006626D0"/>
    <w:rsid w:val="006628E9"/>
    <w:rsid w:val="00663123"/>
    <w:rsid w:val="00663948"/>
    <w:rsid w:val="00663CA2"/>
    <w:rsid w:val="00663CD2"/>
    <w:rsid w:val="00663E76"/>
    <w:rsid w:val="00663EC0"/>
    <w:rsid w:val="006641F4"/>
    <w:rsid w:val="00664BB4"/>
    <w:rsid w:val="00664DA3"/>
    <w:rsid w:val="00664E37"/>
    <w:rsid w:val="00664E8C"/>
    <w:rsid w:val="00664F2C"/>
    <w:rsid w:val="006652E3"/>
    <w:rsid w:val="00665468"/>
    <w:rsid w:val="006656F5"/>
    <w:rsid w:val="006658A1"/>
    <w:rsid w:val="00665B00"/>
    <w:rsid w:val="00665DD8"/>
    <w:rsid w:val="00665F26"/>
    <w:rsid w:val="00665F7C"/>
    <w:rsid w:val="00665FB4"/>
    <w:rsid w:val="00666437"/>
    <w:rsid w:val="00666506"/>
    <w:rsid w:val="0066673B"/>
    <w:rsid w:val="0066674F"/>
    <w:rsid w:val="00666919"/>
    <w:rsid w:val="0066699A"/>
    <w:rsid w:val="00666DFC"/>
    <w:rsid w:val="00666EBB"/>
    <w:rsid w:val="006674DA"/>
    <w:rsid w:val="006676BA"/>
    <w:rsid w:val="0066779E"/>
    <w:rsid w:val="006677BE"/>
    <w:rsid w:val="006679F4"/>
    <w:rsid w:val="00667B08"/>
    <w:rsid w:val="00667B49"/>
    <w:rsid w:val="00667FAF"/>
    <w:rsid w:val="006701D0"/>
    <w:rsid w:val="0067033A"/>
    <w:rsid w:val="006703D8"/>
    <w:rsid w:val="0067096D"/>
    <w:rsid w:val="0067097D"/>
    <w:rsid w:val="00670AF4"/>
    <w:rsid w:val="00670B6C"/>
    <w:rsid w:val="00670C14"/>
    <w:rsid w:val="00670C42"/>
    <w:rsid w:val="006719E0"/>
    <w:rsid w:val="00671B4B"/>
    <w:rsid w:val="006720EE"/>
    <w:rsid w:val="0067269D"/>
    <w:rsid w:val="00672857"/>
    <w:rsid w:val="00672874"/>
    <w:rsid w:val="00672988"/>
    <w:rsid w:val="00672BF1"/>
    <w:rsid w:val="00672C64"/>
    <w:rsid w:val="00673099"/>
    <w:rsid w:val="006730A1"/>
    <w:rsid w:val="00673BB6"/>
    <w:rsid w:val="00673EDA"/>
    <w:rsid w:val="006741B6"/>
    <w:rsid w:val="006742DB"/>
    <w:rsid w:val="0067475A"/>
    <w:rsid w:val="0067487A"/>
    <w:rsid w:val="00674E6A"/>
    <w:rsid w:val="00675245"/>
    <w:rsid w:val="0067599A"/>
    <w:rsid w:val="00675CF4"/>
    <w:rsid w:val="00675EC2"/>
    <w:rsid w:val="00675F05"/>
    <w:rsid w:val="00675FAC"/>
    <w:rsid w:val="00675FB1"/>
    <w:rsid w:val="00676A64"/>
    <w:rsid w:val="006776AF"/>
    <w:rsid w:val="00677839"/>
    <w:rsid w:val="00677925"/>
    <w:rsid w:val="006779BF"/>
    <w:rsid w:val="00677D19"/>
    <w:rsid w:val="006800DC"/>
    <w:rsid w:val="006802BD"/>
    <w:rsid w:val="006808D8"/>
    <w:rsid w:val="006808EA"/>
    <w:rsid w:val="006809FC"/>
    <w:rsid w:val="00680D20"/>
    <w:rsid w:val="00680F46"/>
    <w:rsid w:val="006811B1"/>
    <w:rsid w:val="006816E6"/>
    <w:rsid w:val="0068199E"/>
    <w:rsid w:val="00681D7C"/>
    <w:rsid w:val="00681ECC"/>
    <w:rsid w:val="00681FDC"/>
    <w:rsid w:val="0068220D"/>
    <w:rsid w:val="0068277D"/>
    <w:rsid w:val="00682B1E"/>
    <w:rsid w:val="00682B53"/>
    <w:rsid w:val="00682DBF"/>
    <w:rsid w:val="00682F27"/>
    <w:rsid w:val="00683457"/>
    <w:rsid w:val="00683768"/>
    <w:rsid w:val="00683F9A"/>
    <w:rsid w:val="006847C0"/>
    <w:rsid w:val="00684A72"/>
    <w:rsid w:val="00684D2A"/>
    <w:rsid w:val="00685295"/>
    <w:rsid w:val="0068537E"/>
    <w:rsid w:val="00685814"/>
    <w:rsid w:val="00685817"/>
    <w:rsid w:val="0068587B"/>
    <w:rsid w:val="006859DB"/>
    <w:rsid w:val="0068602F"/>
    <w:rsid w:val="00686171"/>
    <w:rsid w:val="0068617B"/>
    <w:rsid w:val="00686243"/>
    <w:rsid w:val="0068678D"/>
    <w:rsid w:val="00686C4A"/>
    <w:rsid w:val="00686D79"/>
    <w:rsid w:val="00686EB6"/>
    <w:rsid w:val="00687346"/>
    <w:rsid w:val="00687488"/>
    <w:rsid w:val="006874F1"/>
    <w:rsid w:val="006875BC"/>
    <w:rsid w:val="00687887"/>
    <w:rsid w:val="006879F1"/>
    <w:rsid w:val="00687AC8"/>
    <w:rsid w:val="00687C7A"/>
    <w:rsid w:val="00687DE9"/>
    <w:rsid w:val="006904ED"/>
    <w:rsid w:val="00690BDC"/>
    <w:rsid w:val="00690C31"/>
    <w:rsid w:val="00690E2E"/>
    <w:rsid w:val="00691286"/>
    <w:rsid w:val="006915D7"/>
    <w:rsid w:val="006917E8"/>
    <w:rsid w:val="00691B00"/>
    <w:rsid w:val="00691CE0"/>
    <w:rsid w:val="006920FD"/>
    <w:rsid w:val="006921B1"/>
    <w:rsid w:val="00692814"/>
    <w:rsid w:val="00692A9E"/>
    <w:rsid w:val="00692B61"/>
    <w:rsid w:val="00692D09"/>
    <w:rsid w:val="006932E7"/>
    <w:rsid w:val="00693347"/>
    <w:rsid w:val="0069334C"/>
    <w:rsid w:val="006933D3"/>
    <w:rsid w:val="006939D3"/>
    <w:rsid w:val="00693D67"/>
    <w:rsid w:val="00693F37"/>
    <w:rsid w:val="006946B7"/>
    <w:rsid w:val="006948EF"/>
    <w:rsid w:val="00694A33"/>
    <w:rsid w:val="00694C5C"/>
    <w:rsid w:val="00695880"/>
    <w:rsid w:val="00695EF4"/>
    <w:rsid w:val="00696134"/>
    <w:rsid w:val="00696C90"/>
    <w:rsid w:val="00696D63"/>
    <w:rsid w:val="0069704B"/>
    <w:rsid w:val="0069704E"/>
    <w:rsid w:val="00697221"/>
    <w:rsid w:val="0069736B"/>
    <w:rsid w:val="006A032F"/>
    <w:rsid w:val="006A05A8"/>
    <w:rsid w:val="006A099B"/>
    <w:rsid w:val="006A0DD3"/>
    <w:rsid w:val="006A1105"/>
    <w:rsid w:val="006A1140"/>
    <w:rsid w:val="006A146E"/>
    <w:rsid w:val="006A17CA"/>
    <w:rsid w:val="006A1976"/>
    <w:rsid w:val="006A19B0"/>
    <w:rsid w:val="006A19ED"/>
    <w:rsid w:val="006A1BEB"/>
    <w:rsid w:val="006A1C0B"/>
    <w:rsid w:val="006A1D27"/>
    <w:rsid w:val="006A1E26"/>
    <w:rsid w:val="006A1F35"/>
    <w:rsid w:val="006A2171"/>
    <w:rsid w:val="006A2349"/>
    <w:rsid w:val="006A2D61"/>
    <w:rsid w:val="006A2FD0"/>
    <w:rsid w:val="006A3022"/>
    <w:rsid w:val="006A3446"/>
    <w:rsid w:val="006A36D2"/>
    <w:rsid w:val="006A3A12"/>
    <w:rsid w:val="006A41AE"/>
    <w:rsid w:val="006A4598"/>
    <w:rsid w:val="006A4618"/>
    <w:rsid w:val="006A4646"/>
    <w:rsid w:val="006A468C"/>
    <w:rsid w:val="006A4766"/>
    <w:rsid w:val="006A47AA"/>
    <w:rsid w:val="006A4856"/>
    <w:rsid w:val="006A4CA1"/>
    <w:rsid w:val="006A4D37"/>
    <w:rsid w:val="006A4E4D"/>
    <w:rsid w:val="006A5080"/>
    <w:rsid w:val="006A53B0"/>
    <w:rsid w:val="006A5450"/>
    <w:rsid w:val="006A5474"/>
    <w:rsid w:val="006A564B"/>
    <w:rsid w:val="006A56B8"/>
    <w:rsid w:val="006A576D"/>
    <w:rsid w:val="006A5BC0"/>
    <w:rsid w:val="006A5C96"/>
    <w:rsid w:val="006A60AC"/>
    <w:rsid w:val="006A653E"/>
    <w:rsid w:val="006A6BF1"/>
    <w:rsid w:val="006A6C81"/>
    <w:rsid w:val="006A6CCF"/>
    <w:rsid w:val="006A6D25"/>
    <w:rsid w:val="006A7B16"/>
    <w:rsid w:val="006A7C65"/>
    <w:rsid w:val="006A7D1D"/>
    <w:rsid w:val="006A7F79"/>
    <w:rsid w:val="006B0343"/>
    <w:rsid w:val="006B03C3"/>
    <w:rsid w:val="006B05B5"/>
    <w:rsid w:val="006B09CC"/>
    <w:rsid w:val="006B09F6"/>
    <w:rsid w:val="006B0C8F"/>
    <w:rsid w:val="006B0D9B"/>
    <w:rsid w:val="006B1545"/>
    <w:rsid w:val="006B1665"/>
    <w:rsid w:val="006B1905"/>
    <w:rsid w:val="006B1A25"/>
    <w:rsid w:val="006B23B9"/>
    <w:rsid w:val="006B24D4"/>
    <w:rsid w:val="006B27E1"/>
    <w:rsid w:val="006B2C1B"/>
    <w:rsid w:val="006B2DA7"/>
    <w:rsid w:val="006B2F4D"/>
    <w:rsid w:val="006B306B"/>
    <w:rsid w:val="006B3543"/>
    <w:rsid w:val="006B35B5"/>
    <w:rsid w:val="006B35E7"/>
    <w:rsid w:val="006B3682"/>
    <w:rsid w:val="006B3732"/>
    <w:rsid w:val="006B3974"/>
    <w:rsid w:val="006B39E7"/>
    <w:rsid w:val="006B4163"/>
    <w:rsid w:val="006B4184"/>
    <w:rsid w:val="006B4332"/>
    <w:rsid w:val="006B43D9"/>
    <w:rsid w:val="006B479F"/>
    <w:rsid w:val="006B48CB"/>
    <w:rsid w:val="006B48F1"/>
    <w:rsid w:val="006B49EE"/>
    <w:rsid w:val="006B564D"/>
    <w:rsid w:val="006B59C8"/>
    <w:rsid w:val="006B5D97"/>
    <w:rsid w:val="006B5DF6"/>
    <w:rsid w:val="006B5E5F"/>
    <w:rsid w:val="006B5FD1"/>
    <w:rsid w:val="006B6075"/>
    <w:rsid w:val="006B610B"/>
    <w:rsid w:val="006B61AC"/>
    <w:rsid w:val="006B624C"/>
    <w:rsid w:val="006B733C"/>
    <w:rsid w:val="006B73AA"/>
    <w:rsid w:val="006B7425"/>
    <w:rsid w:val="006B782D"/>
    <w:rsid w:val="006C04E6"/>
    <w:rsid w:val="006C088D"/>
    <w:rsid w:val="006C0EDE"/>
    <w:rsid w:val="006C1190"/>
    <w:rsid w:val="006C1445"/>
    <w:rsid w:val="006C169E"/>
    <w:rsid w:val="006C16E8"/>
    <w:rsid w:val="006C174C"/>
    <w:rsid w:val="006C184D"/>
    <w:rsid w:val="006C1C61"/>
    <w:rsid w:val="006C1D6D"/>
    <w:rsid w:val="006C1EA6"/>
    <w:rsid w:val="006C1EBA"/>
    <w:rsid w:val="006C20C5"/>
    <w:rsid w:val="006C2140"/>
    <w:rsid w:val="006C2372"/>
    <w:rsid w:val="006C278F"/>
    <w:rsid w:val="006C2C2A"/>
    <w:rsid w:val="006C3A73"/>
    <w:rsid w:val="006C3AB0"/>
    <w:rsid w:val="006C3D84"/>
    <w:rsid w:val="006C4199"/>
    <w:rsid w:val="006C4751"/>
    <w:rsid w:val="006C4BE3"/>
    <w:rsid w:val="006C4FC1"/>
    <w:rsid w:val="006C51A5"/>
    <w:rsid w:val="006C529D"/>
    <w:rsid w:val="006C5568"/>
    <w:rsid w:val="006C5586"/>
    <w:rsid w:val="006C5840"/>
    <w:rsid w:val="006C5A2C"/>
    <w:rsid w:val="006C5C57"/>
    <w:rsid w:val="006C6020"/>
    <w:rsid w:val="006C610A"/>
    <w:rsid w:val="006C62E1"/>
    <w:rsid w:val="006C63B2"/>
    <w:rsid w:val="006C6545"/>
    <w:rsid w:val="006C6798"/>
    <w:rsid w:val="006C67C4"/>
    <w:rsid w:val="006C6DF7"/>
    <w:rsid w:val="006C6ECC"/>
    <w:rsid w:val="006C711E"/>
    <w:rsid w:val="006C719F"/>
    <w:rsid w:val="006C72D3"/>
    <w:rsid w:val="006C74A4"/>
    <w:rsid w:val="006C752A"/>
    <w:rsid w:val="006C797E"/>
    <w:rsid w:val="006C7996"/>
    <w:rsid w:val="006C7C24"/>
    <w:rsid w:val="006C7C6E"/>
    <w:rsid w:val="006C7D4B"/>
    <w:rsid w:val="006C7EB2"/>
    <w:rsid w:val="006C7F51"/>
    <w:rsid w:val="006D02E5"/>
    <w:rsid w:val="006D07C1"/>
    <w:rsid w:val="006D0826"/>
    <w:rsid w:val="006D08D9"/>
    <w:rsid w:val="006D0913"/>
    <w:rsid w:val="006D0C12"/>
    <w:rsid w:val="006D0E6B"/>
    <w:rsid w:val="006D13D5"/>
    <w:rsid w:val="006D2146"/>
    <w:rsid w:val="006D268A"/>
    <w:rsid w:val="006D27AC"/>
    <w:rsid w:val="006D2962"/>
    <w:rsid w:val="006D2B65"/>
    <w:rsid w:val="006D2FA5"/>
    <w:rsid w:val="006D360F"/>
    <w:rsid w:val="006D3A1B"/>
    <w:rsid w:val="006D3AAE"/>
    <w:rsid w:val="006D3DD6"/>
    <w:rsid w:val="006D40C0"/>
    <w:rsid w:val="006D49BB"/>
    <w:rsid w:val="006D4F95"/>
    <w:rsid w:val="006D52FA"/>
    <w:rsid w:val="006D5587"/>
    <w:rsid w:val="006D5934"/>
    <w:rsid w:val="006D5B32"/>
    <w:rsid w:val="006D5BE7"/>
    <w:rsid w:val="006D5E0D"/>
    <w:rsid w:val="006D632E"/>
    <w:rsid w:val="006D633D"/>
    <w:rsid w:val="006D64A1"/>
    <w:rsid w:val="006D64AF"/>
    <w:rsid w:val="006D6C9C"/>
    <w:rsid w:val="006D723D"/>
    <w:rsid w:val="006D72AB"/>
    <w:rsid w:val="006D7942"/>
    <w:rsid w:val="006D7F56"/>
    <w:rsid w:val="006E01C8"/>
    <w:rsid w:val="006E0398"/>
    <w:rsid w:val="006E03CB"/>
    <w:rsid w:val="006E094A"/>
    <w:rsid w:val="006E098C"/>
    <w:rsid w:val="006E105D"/>
    <w:rsid w:val="006E11CC"/>
    <w:rsid w:val="006E12B1"/>
    <w:rsid w:val="006E13D1"/>
    <w:rsid w:val="006E1D9D"/>
    <w:rsid w:val="006E2057"/>
    <w:rsid w:val="006E25E0"/>
    <w:rsid w:val="006E285B"/>
    <w:rsid w:val="006E3171"/>
    <w:rsid w:val="006E3AEE"/>
    <w:rsid w:val="006E402B"/>
    <w:rsid w:val="006E4314"/>
    <w:rsid w:val="006E48EC"/>
    <w:rsid w:val="006E4ABB"/>
    <w:rsid w:val="006E4B2F"/>
    <w:rsid w:val="006E4D0C"/>
    <w:rsid w:val="006E4D1B"/>
    <w:rsid w:val="006E4EEE"/>
    <w:rsid w:val="006E4F0C"/>
    <w:rsid w:val="006E4F21"/>
    <w:rsid w:val="006E4FD7"/>
    <w:rsid w:val="006E5601"/>
    <w:rsid w:val="006E5672"/>
    <w:rsid w:val="006E577D"/>
    <w:rsid w:val="006E58F0"/>
    <w:rsid w:val="006E5A82"/>
    <w:rsid w:val="006E5B78"/>
    <w:rsid w:val="006E5BED"/>
    <w:rsid w:val="006E5DCC"/>
    <w:rsid w:val="006E5FD7"/>
    <w:rsid w:val="006E604A"/>
    <w:rsid w:val="006E66B3"/>
    <w:rsid w:val="006E67BA"/>
    <w:rsid w:val="006E699D"/>
    <w:rsid w:val="006E6AD6"/>
    <w:rsid w:val="006E6BA3"/>
    <w:rsid w:val="006E6F04"/>
    <w:rsid w:val="006E70AD"/>
    <w:rsid w:val="006E71C4"/>
    <w:rsid w:val="006E79BC"/>
    <w:rsid w:val="006E7F21"/>
    <w:rsid w:val="006F04B1"/>
    <w:rsid w:val="006F0B16"/>
    <w:rsid w:val="006F0C9A"/>
    <w:rsid w:val="006F0D41"/>
    <w:rsid w:val="006F0ECB"/>
    <w:rsid w:val="006F0FD5"/>
    <w:rsid w:val="006F1116"/>
    <w:rsid w:val="006F141A"/>
    <w:rsid w:val="006F14FA"/>
    <w:rsid w:val="006F1521"/>
    <w:rsid w:val="006F1844"/>
    <w:rsid w:val="006F18F1"/>
    <w:rsid w:val="006F1A78"/>
    <w:rsid w:val="006F1D12"/>
    <w:rsid w:val="006F1E39"/>
    <w:rsid w:val="006F2162"/>
    <w:rsid w:val="006F22A3"/>
    <w:rsid w:val="006F2654"/>
    <w:rsid w:val="006F26A6"/>
    <w:rsid w:val="006F273C"/>
    <w:rsid w:val="006F2C5B"/>
    <w:rsid w:val="006F2E94"/>
    <w:rsid w:val="006F3196"/>
    <w:rsid w:val="006F3663"/>
    <w:rsid w:val="006F3A20"/>
    <w:rsid w:val="006F3B00"/>
    <w:rsid w:val="006F3C54"/>
    <w:rsid w:val="006F418C"/>
    <w:rsid w:val="006F49E2"/>
    <w:rsid w:val="006F4CC8"/>
    <w:rsid w:val="006F4F78"/>
    <w:rsid w:val="006F53DA"/>
    <w:rsid w:val="006F5787"/>
    <w:rsid w:val="006F57A9"/>
    <w:rsid w:val="006F5A08"/>
    <w:rsid w:val="006F5A7E"/>
    <w:rsid w:val="006F5D9D"/>
    <w:rsid w:val="006F5E64"/>
    <w:rsid w:val="006F60DE"/>
    <w:rsid w:val="006F6240"/>
    <w:rsid w:val="006F65CE"/>
    <w:rsid w:val="006F65FB"/>
    <w:rsid w:val="006F70B7"/>
    <w:rsid w:val="006F72FC"/>
    <w:rsid w:val="006F7658"/>
    <w:rsid w:val="006F773A"/>
    <w:rsid w:val="006F77BF"/>
    <w:rsid w:val="006F7914"/>
    <w:rsid w:val="006F7BB1"/>
    <w:rsid w:val="006F7C0B"/>
    <w:rsid w:val="006F7CAD"/>
    <w:rsid w:val="006F7E46"/>
    <w:rsid w:val="006F7EE8"/>
    <w:rsid w:val="007006CC"/>
    <w:rsid w:val="00700759"/>
    <w:rsid w:val="00700890"/>
    <w:rsid w:val="00700AB4"/>
    <w:rsid w:val="00700FCA"/>
    <w:rsid w:val="00701006"/>
    <w:rsid w:val="007014EB"/>
    <w:rsid w:val="0070150B"/>
    <w:rsid w:val="007015C6"/>
    <w:rsid w:val="00701645"/>
    <w:rsid w:val="007016F2"/>
    <w:rsid w:val="00701BBC"/>
    <w:rsid w:val="007023A7"/>
    <w:rsid w:val="00702401"/>
    <w:rsid w:val="00702AA9"/>
    <w:rsid w:val="00702BBE"/>
    <w:rsid w:val="00702D5A"/>
    <w:rsid w:val="00702EF7"/>
    <w:rsid w:val="00703571"/>
    <w:rsid w:val="00703845"/>
    <w:rsid w:val="0070397F"/>
    <w:rsid w:val="00703989"/>
    <w:rsid w:val="00703A55"/>
    <w:rsid w:val="00703C17"/>
    <w:rsid w:val="007042E9"/>
    <w:rsid w:val="00704495"/>
    <w:rsid w:val="007047AF"/>
    <w:rsid w:val="00704A10"/>
    <w:rsid w:val="00704E0B"/>
    <w:rsid w:val="00704E2C"/>
    <w:rsid w:val="00704ECE"/>
    <w:rsid w:val="007053CB"/>
    <w:rsid w:val="007055F0"/>
    <w:rsid w:val="007057CB"/>
    <w:rsid w:val="00705ABC"/>
    <w:rsid w:val="00705B6C"/>
    <w:rsid w:val="0070607B"/>
    <w:rsid w:val="007068EE"/>
    <w:rsid w:val="00706FD4"/>
    <w:rsid w:val="007074A2"/>
    <w:rsid w:val="007075A1"/>
    <w:rsid w:val="00707912"/>
    <w:rsid w:val="00707BCD"/>
    <w:rsid w:val="00710006"/>
    <w:rsid w:val="007102DA"/>
    <w:rsid w:val="007108D3"/>
    <w:rsid w:val="00710CCD"/>
    <w:rsid w:val="00710D31"/>
    <w:rsid w:val="00710DE7"/>
    <w:rsid w:val="0071118B"/>
    <w:rsid w:val="0071137E"/>
    <w:rsid w:val="00711C66"/>
    <w:rsid w:val="00711E13"/>
    <w:rsid w:val="00712CEC"/>
    <w:rsid w:val="00712CEE"/>
    <w:rsid w:val="00712EDA"/>
    <w:rsid w:val="007136D0"/>
    <w:rsid w:val="00713809"/>
    <w:rsid w:val="00713BD9"/>
    <w:rsid w:val="00713F82"/>
    <w:rsid w:val="00713FEB"/>
    <w:rsid w:val="00714020"/>
    <w:rsid w:val="0071445C"/>
    <w:rsid w:val="00714528"/>
    <w:rsid w:val="00714E36"/>
    <w:rsid w:val="00714FFA"/>
    <w:rsid w:val="007155A9"/>
    <w:rsid w:val="007158E1"/>
    <w:rsid w:val="007158ED"/>
    <w:rsid w:val="00715930"/>
    <w:rsid w:val="00715B93"/>
    <w:rsid w:val="00715E50"/>
    <w:rsid w:val="0071608E"/>
    <w:rsid w:val="00716384"/>
    <w:rsid w:val="0071639A"/>
    <w:rsid w:val="007165BE"/>
    <w:rsid w:val="00716798"/>
    <w:rsid w:val="0071680A"/>
    <w:rsid w:val="00716888"/>
    <w:rsid w:val="0071695B"/>
    <w:rsid w:val="00716AA6"/>
    <w:rsid w:val="00716D7E"/>
    <w:rsid w:val="0071705B"/>
    <w:rsid w:val="00717C6F"/>
    <w:rsid w:val="00717D82"/>
    <w:rsid w:val="00717F92"/>
    <w:rsid w:val="007200BA"/>
    <w:rsid w:val="00720505"/>
    <w:rsid w:val="00720D64"/>
    <w:rsid w:val="00720F63"/>
    <w:rsid w:val="0072105B"/>
    <w:rsid w:val="0072121C"/>
    <w:rsid w:val="00721491"/>
    <w:rsid w:val="00721E13"/>
    <w:rsid w:val="00721EB8"/>
    <w:rsid w:val="00722827"/>
    <w:rsid w:val="0072284A"/>
    <w:rsid w:val="00722E66"/>
    <w:rsid w:val="00722E67"/>
    <w:rsid w:val="00723066"/>
    <w:rsid w:val="00723595"/>
    <w:rsid w:val="007236A3"/>
    <w:rsid w:val="007239B6"/>
    <w:rsid w:val="00723F36"/>
    <w:rsid w:val="00724171"/>
    <w:rsid w:val="00724436"/>
    <w:rsid w:val="00724537"/>
    <w:rsid w:val="00724745"/>
    <w:rsid w:val="00724888"/>
    <w:rsid w:val="0072490A"/>
    <w:rsid w:val="0072491E"/>
    <w:rsid w:val="00724B64"/>
    <w:rsid w:val="00724C87"/>
    <w:rsid w:val="00724D50"/>
    <w:rsid w:val="00724D8D"/>
    <w:rsid w:val="00724EAA"/>
    <w:rsid w:val="00724F5A"/>
    <w:rsid w:val="0072517D"/>
    <w:rsid w:val="007252E1"/>
    <w:rsid w:val="00725470"/>
    <w:rsid w:val="007256EE"/>
    <w:rsid w:val="007256F7"/>
    <w:rsid w:val="0072594D"/>
    <w:rsid w:val="0072598A"/>
    <w:rsid w:val="007259A1"/>
    <w:rsid w:val="00725C04"/>
    <w:rsid w:val="0072600C"/>
    <w:rsid w:val="007261EE"/>
    <w:rsid w:val="007264F4"/>
    <w:rsid w:val="00726619"/>
    <w:rsid w:val="00726878"/>
    <w:rsid w:val="00726C14"/>
    <w:rsid w:val="00726D76"/>
    <w:rsid w:val="00726F8B"/>
    <w:rsid w:val="007277E3"/>
    <w:rsid w:val="00727986"/>
    <w:rsid w:val="007300F0"/>
    <w:rsid w:val="007302E0"/>
    <w:rsid w:val="00730378"/>
    <w:rsid w:val="0073060D"/>
    <w:rsid w:val="0073073F"/>
    <w:rsid w:val="0073083F"/>
    <w:rsid w:val="007308CF"/>
    <w:rsid w:val="0073095F"/>
    <w:rsid w:val="00730B76"/>
    <w:rsid w:val="00730DBE"/>
    <w:rsid w:val="00730ECE"/>
    <w:rsid w:val="00731167"/>
    <w:rsid w:val="0073124A"/>
    <w:rsid w:val="0073186D"/>
    <w:rsid w:val="00731B6C"/>
    <w:rsid w:val="00731B79"/>
    <w:rsid w:val="00731D2F"/>
    <w:rsid w:val="007320A2"/>
    <w:rsid w:val="00732282"/>
    <w:rsid w:val="00732283"/>
    <w:rsid w:val="00732520"/>
    <w:rsid w:val="00732754"/>
    <w:rsid w:val="007327CE"/>
    <w:rsid w:val="00732CA6"/>
    <w:rsid w:val="00732F7E"/>
    <w:rsid w:val="007330B9"/>
    <w:rsid w:val="00733288"/>
    <w:rsid w:val="007336B9"/>
    <w:rsid w:val="00733893"/>
    <w:rsid w:val="00733DF4"/>
    <w:rsid w:val="00734949"/>
    <w:rsid w:val="00734A05"/>
    <w:rsid w:val="00734ECC"/>
    <w:rsid w:val="007353F4"/>
    <w:rsid w:val="00735807"/>
    <w:rsid w:val="00735C29"/>
    <w:rsid w:val="00735C63"/>
    <w:rsid w:val="00735C6F"/>
    <w:rsid w:val="00735D1E"/>
    <w:rsid w:val="00735D7B"/>
    <w:rsid w:val="0073696A"/>
    <w:rsid w:val="00736E74"/>
    <w:rsid w:val="0073735E"/>
    <w:rsid w:val="00737511"/>
    <w:rsid w:val="00737570"/>
    <w:rsid w:val="007376D1"/>
    <w:rsid w:val="00737A31"/>
    <w:rsid w:val="00737A3B"/>
    <w:rsid w:val="00737AD1"/>
    <w:rsid w:val="00737C09"/>
    <w:rsid w:val="007400CD"/>
    <w:rsid w:val="00740266"/>
    <w:rsid w:val="007402CB"/>
    <w:rsid w:val="00740482"/>
    <w:rsid w:val="00740724"/>
    <w:rsid w:val="00740C59"/>
    <w:rsid w:val="00740E00"/>
    <w:rsid w:val="00740F81"/>
    <w:rsid w:val="007414B3"/>
    <w:rsid w:val="00741C84"/>
    <w:rsid w:val="00741EB5"/>
    <w:rsid w:val="00741F49"/>
    <w:rsid w:val="0074216C"/>
    <w:rsid w:val="0074262A"/>
    <w:rsid w:val="00742967"/>
    <w:rsid w:val="007429A6"/>
    <w:rsid w:val="00742A3A"/>
    <w:rsid w:val="00742A4B"/>
    <w:rsid w:val="00742A6A"/>
    <w:rsid w:val="00742B44"/>
    <w:rsid w:val="00742CFE"/>
    <w:rsid w:val="00742F01"/>
    <w:rsid w:val="00742F79"/>
    <w:rsid w:val="0074300B"/>
    <w:rsid w:val="00743023"/>
    <w:rsid w:val="00743E20"/>
    <w:rsid w:val="00744468"/>
    <w:rsid w:val="0074464C"/>
    <w:rsid w:val="0074467D"/>
    <w:rsid w:val="007446AD"/>
    <w:rsid w:val="00744E67"/>
    <w:rsid w:val="00745210"/>
    <w:rsid w:val="007454ED"/>
    <w:rsid w:val="00745D56"/>
    <w:rsid w:val="007463DE"/>
    <w:rsid w:val="0074656E"/>
    <w:rsid w:val="007466F7"/>
    <w:rsid w:val="00746904"/>
    <w:rsid w:val="00746A8E"/>
    <w:rsid w:val="00746BDB"/>
    <w:rsid w:val="00746C75"/>
    <w:rsid w:val="007470C8"/>
    <w:rsid w:val="0074718E"/>
    <w:rsid w:val="007471CE"/>
    <w:rsid w:val="007472BF"/>
    <w:rsid w:val="007472D5"/>
    <w:rsid w:val="007473FB"/>
    <w:rsid w:val="00747773"/>
    <w:rsid w:val="0074783A"/>
    <w:rsid w:val="007479F2"/>
    <w:rsid w:val="00747BD7"/>
    <w:rsid w:val="00747D5F"/>
    <w:rsid w:val="00750113"/>
    <w:rsid w:val="0075080C"/>
    <w:rsid w:val="00750824"/>
    <w:rsid w:val="007508B3"/>
    <w:rsid w:val="0075106A"/>
    <w:rsid w:val="007512F0"/>
    <w:rsid w:val="007515E5"/>
    <w:rsid w:val="00751653"/>
    <w:rsid w:val="00751719"/>
    <w:rsid w:val="007517F4"/>
    <w:rsid w:val="00751807"/>
    <w:rsid w:val="00751914"/>
    <w:rsid w:val="00751B48"/>
    <w:rsid w:val="00751D51"/>
    <w:rsid w:val="00751D80"/>
    <w:rsid w:val="007520B7"/>
    <w:rsid w:val="007523FB"/>
    <w:rsid w:val="0075280F"/>
    <w:rsid w:val="00752A6D"/>
    <w:rsid w:val="00752B03"/>
    <w:rsid w:val="00753454"/>
    <w:rsid w:val="0075372A"/>
    <w:rsid w:val="00753BB5"/>
    <w:rsid w:val="007541EF"/>
    <w:rsid w:val="007541FA"/>
    <w:rsid w:val="00754244"/>
    <w:rsid w:val="007544F1"/>
    <w:rsid w:val="00754666"/>
    <w:rsid w:val="007547E7"/>
    <w:rsid w:val="007548C3"/>
    <w:rsid w:val="00754BB8"/>
    <w:rsid w:val="00754D5F"/>
    <w:rsid w:val="00755027"/>
    <w:rsid w:val="00755632"/>
    <w:rsid w:val="00755762"/>
    <w:rsid w:val="00755E4A"/>
    <w:rsid w:val="00755F8B"/>
    <w:rsid w:val="007561A8"/>
    <w:rsid w:val="00756832"/>
    <w:rsid w:val="007569EF"/>
    <w:rsid w:val="00756AF2"/>
    <w:rsid w:val="007574CB"/>
    <w:rsid w:val="00757820"/>
    <w:rsid w:val="00757BBF"/>
    <w:rsid w:val="00757DBF"/>
    <w:rsid w:val="00757F0B"/>
    <w:rsid w:val="007601FA"/>
    <w:rsid w:val="00760276"/>
    <w:rsid w:val="0076027C"/>
    <w:rsid w:val="0076078C"/>
    <w:rsid w:val="007609F4"/>
    <w:rsid w:val="00760C64"/>
    <w:rsid w:val="00760CEB"/>
    <w:rsid w:val="00760CFD"/>
    <w:rsid w:val="007618A7"/>
    <w:rsid w:val="00761D27"/>
    <w:rsid w:val="0076229D"/>
    <w:rsid w:val="007626D0"/>
    <w:rsid w:val="007628E9"/>
    <w:rsid w:val="00762BF9"/>
    <w:rsid w:val="00762D90"/>
    <w:rsid w:val="00763316"/>
    <w:rsid w:val="00763829"/>
    <w:rsid w:val="00763D21"/>
    <w:rsid w:val="00763DB8"/>
    <w:rsid w:val="00763E63"/>
    <w:rsid w:val="0076430B"/>
    <w:rsid w:val="0076447F"/>
    <w:rsid w:val="00764B5D"/>
    <w:rsid w:val="00764BB8"/>
    <w:rsid w:val="007650BA"/>
    <w:rsid w:val="007651CA"/>
    <w:rsid w:val="0076563B"/>
    <w:rsid w:val="007656A9"/>
    <w:rsid w:val="00765A7D"/>
    <w:rsid w:val="00765B1C"/>
    <w:rsid w:val="00765B8F"/>
    <w:rsid w:val="00765CA7"/>
    <w:rsid w:val="00765D98"/>
    <w:rsid w:val="00765E7B"/>
    <w:rsid w:val="00765F54"/>
    <w:rsid w:val="00766213"/>
    <w:rsid w:val="0076627D"/>
    <w:rsid w:val="00766404"/>
    <w:rsid w:val="00766C63"/>
    <w:rsid w:val="00766CFC"/>
    <w:rsid w:val="007672F4"/>
    <w:rsid w:val="007673D6"/>
    <w:rsid w:val="0076745E"/>
    <w:rsid w:val="00767519"/>
    <w:rsid w:val="007675BD"/>
    <w:rsid w:val="0076763E"/>
    <w:rsid w:val="00767668"/>
    <w:rsid w:val="00767EDB"/>
    <w:rsid w:val="0077020C"/>
    <w:rsid w:val="0077040C"/>
    <w:rsid w:val="007704E1"/>
    <w:rsid w:val="007709C0"/>
    <w:rsid w:val="00770D7A"/>
    <w:rsid w:val="00770D9B"/>
    <w:rsid w:val="00770E5C"/>
    <w:rsid w:val="00771255"/>
    <w:rsid w:val="00771324"/>
    <w:rsid w:val="0077163C"/>
    <w:rsid w:val="00771F21"/>
    <w:rsid w:val="00771FDD"/>
    <w:rsid w:val="00772569"/>
    <w:rsid w:val="0077286D"/>
    <w:rsid w:val="00772AA3"/>
    <w:rsid w:val="00772C13"/>
    <w:rsid w:val="00772C79"/>
    <w:rsid w:val="00772E8C"/>
    <w:rsid w:val="00772FDB"/>
    <w:rsid w:val="0077316B"/>
    <w:rsid w:val="007732F9"/>
    <w:rsid w:val="00773460"/>
    <w:rsid w:val="007734C3"/>
    <w:rsid w:val="007734D9"/>
    <w:rsid w:val="00773671"/>
    <w:rsid w:val="007736D3"/>
    <w:rsid w:val="0077376B"/>
    <w:rsid w:val="00773C51"/>
    <w:rsid w:val="00774180"/>
    <w:rsid w:val="00774F6C"/>
    <w:rsid w:val="00774FC9"/>
    <w:rsid w:val="0077500F"/>
    <w:rsid w:val="0077507C"/>
    <w:rsid w:val="00775224"/>
    <w:rsid w:val="00775305"/>
    <w:rsid w:val="00775476"/>
    <w:rsid w:val="0077548E"/>
    <w:rsid w:val="0077557F"/>
    <w:rsid w:val="007759C7"/>
    <w:rsid w:val="007767A6"/>
    <w:rsid w:val="007768BD"/>
    <w:rsid w:val="00776A19"/>
    <w:rsid w:val="007770A2"/>
    <w:rsid w:val="00777315"/>
    <w:rsid w:val="007774BD"/>
    <w:rsid w:val="007774E7"/>
    <w:rsid w:val="00777F93"/>
    <w:rsid w:val="00780207"/>
    <w:rsid w:val="007802E4"/>
    <w:rsid w:val="007805AC"/>
    <w:rsid w:val="0078078F"/>
    <w:rsid w:val="007808A2"/>
    <w:rsid w:val="00780919"/>
    <w:rsid w:val="00780EBA"/>
    <w:rsid w:val="00781185"/>
    <w:rsid w:val="00781589"/>
    <w:rsid w:val="00781BC8"/>
    <w:rsid w:val="00781E95"/>
    <w:rsid w:val="0078202B"/>
    <w:rsid w:val="007820D0"/>
    <w:rsid w:val="00782311"/>
    <w:rsid w:val="007826C8"/>
    <w:rsid w:val="00782A96"/>
    <w:rsid w:val="00782BAD"/>
    <w:rsid w:val="007831B2"/>
    <w:rsid w:val="007832C0"/>
    <w:rsid w:val="0078364C"/>
    <w:rsid w:val="007839F3"/>
    <w:rsid w:val="00783C1D"/>
    <w:rsid w:val="00783CEE"/>
    <w:rsid w:val="00784190"/>
    <w:rsid w:val="0078457B"/>
    <w:rsid w:val="00784756"/>
    <w:rsid w:val="00784812"/>
    <w:rsid w:val="0078490B"/>
    <w:rsid w:val="00784D0B"/>
    <w:rsid w:val="00784FC0"/>
    <w:rsid w:val="007850B6"/>
    <w:rsid w:val="007850F8"/>
    <w:rsid w:val="0078539D"/>
    <w:rsid w:val="007853D8"/>
    <w:rsid w:val="007853DD"/>
    <w:rsid w:val="007856C1"/>
    <w:rsid w:val="0078571A"/>
    <w:rsid w:val="007857FB"/>
    <w:rsid w:val="00785A5D"/>
    <w:rsid w:val="00785B0F"/>
    <w:rsid w:val="00786A85"/>
    <w:rsid w:val="00786DF3"/>
    <w:rsid w:val="00787051"/>
    <w:rsid w:val="007878A8"/>
    <w:rsid w:val="00787BDD"/>
    <w:rsid w:val="00787DE5"/>
    <w:rsid w:val="0079018D"/>
    <w:rsid w:val="007901DC"/>
    <w:rsid w:val="00790257"/>
    <w:rsid w:val="007906A0"/>
    <w:rsid w:val="00790797"/>
    <w:rsid w:val="00790ECF"/>
    <w:rsid w:val="00791577"/>
    <w:rsid w:val="00791A00"/>
    <w:rsid w:val="00791BE2"/>
    <w:rsid w:val="00791CAD"/>
    <w:rsid w:val="00791CB7"/>
    <w:rsid w:val="00791D45"/>
    <w:rsid w:val="00791DDB"/>
    <w:rsid w:val="00791EAE"/>
    <w:rsid w:val="00792212"/>
    <w:rsid w:val="0079268F"/>
    <w:rsid w:val="00792A10"/>
    <w:rsid w:val="00792CEE"/>
    <w:rsid w:val="007931DE"/>
    <w:rsid w:val="00793205"/>
    <w:rsid w:val="007933C3"/>
    <w:rsid w:val="0079362D"/>
    <w:rsid w:val="007936A8"/>
    <w:rsid w:val="00793D08"/>
    <w:rsid w:val="00793D98"/>
    <w:rsid w:val="0079423C"/>
    <w:rsid w:val="00794356"/>
    <w:rsid w:val="007943BE"/>
    <w:rsid w:val="00794635"/>
    <w:rsid w:val="00794AC8"/>
    <w:rsid w:val="00794B76"/>
    <w:rsid w:val="00794C4E"/>
    <w:rsid w:val="0079522E"/>
    <w:rsid w:val="0079531D"/>
    <w:rsid w:val="007960EC"/>
    <w:rsid w:val="007962B4"/>
    <w:rsid w:val="00796451"/>
    <w:rsid w:val="0079656E"/>
    <w:rsid w:val="00796739"/>
    <w:rsid w:val="0079675B"/>
    <w:rsid w:val="007967F9"/>
    <w:rsid w:val="00796A54"/>
    <w:rsid w:val="00796BDB"/>
    <w:rsid w:val="00796C36"/>
    <w:rsid w:val="00796C71"/>
    <w:rsid w:val="00796CCB"/>
    <w:rsid w:val="00796F15"/>
    <w:rsid w:val="00797182"/>
    <w:rsid w:val="00797AA9"/>
    <w:rsid w:val="00797BFA"/>
    <w:rsid w:val="00797E22"/>
    <w:rsid w:val="007A0072"/>
    <w:rsid w:val="007A03F6"/>
    <w:rsid w:val="007A0410"/>
    <w:rsid w:val="007A06B1"/>
    <w:rsid w:val="007A06C7"/>
    <w:rsid w:val="007A0BC8"/>
    <w:rsid w:val="007A0FFC"/>
    <w:rsid w:val="007A138F"/>
    <w:rsid w:val="007A145A"/>
    <w:rsid w:val="007A1523"/>
    <w:rsid w:val="007A160F"/>
    <w:rsid w:val="007A1640"/>
    <w:rsid w:val="007A1848"/>
    <w:rsid w:val="007A1AE4"/>
    <w:rsid w:val="007A1B50"/>
    <w:rsid w:val="007A1F45"/>
    <w:rsid w:val="007A1F71"/>
    <w:rsid w:val="007A2541"/>
    <w:rsid w:val="007A2589"/>
    <w:rsid w:val="007A27DB"/>
    <w:rsid w:val="007A2AEB"/>
    <w:rsid w:val="007A2EA6"/>
    <w:rsid w:val="007A3138"/>
    <w:rsid w:val="007A360F"/>
    <w:rsid w:val="007A36CB"/>
    <w:rsid w:val="007A37AD"/>
    <w:rsid w:val="007A39DF"/>
    <w:rsid w:val="007A3EF2"/>
    <w:rsid w:val="007A4189"/>
    <w:rsid w:val="007A43ED"/>
    <w:rsid w:val="007A44F8"/>
    <w:rsid w:val="007A4BDD"/>
    <w:rsid w:val="007A4E60"/>
    <w:rsid w:val="007A52FB"/>
    <w:rsid w:val="007A53F4"/>
    <w:rsid w:val="007A5802"/>
    <w:rsid w:val="007A594C"/>
    <w:rsid w:val="007A5A3F"/>
    <w:rsid w:val="007A61A5"/>
    <w:rsid w:val="007A645F"/>
    <w:rsid w:val="007A651C"/>
    <w:rsid w:val="007A6654"/>
    <w:rsid w:val="007A67BA"/>
    <w:rsid w:val="007A6892"/>
    <w:rsid w:val="007A6CED"/>
    <w:rsid w:val="007A6CFD"/>
    <w:rsid w:val="007A72EE"/>
    <w:rsid w:val="007A7585"/>
    <w:rsid w:val="007A7BD7"/>
    <w:rsid w:val="007B0397"/>
    <w:rsid w:val="007B06DC"/>
    <w:rsid w:val="007B0ADB"/>
    <w:rsid w:val="007B1282"/>
    <w:rsid w:val="007B165C"/>
    <w:rsid w:val="007B1681"/>
    <w:rsid w:val="007B16FF"/>
    <w:rsid w:val="007B17E2"/>
    <w:rsid w:val="007B1A71"/>
    <w:rsid w:val="007B225F"/>
    <w:rsid w:val="007B2463"/>
    <w:rsid w:val="007B26EE"/>
    <w:rsid w:val="007B2810"/>
    <w:rsid w:val="007B2E49"/>
    <w:rsid w:val="007B2E9F"/>
    <w:rsid w:val="007B2EA4"/>
    <w:rsid w:val="007B3475"/>
    <w:rsid w:val="007B3502"/>
    <w:rsid w:val="007B3839"/>
    <w:rsid w:val="007B39A6"/>
    <w:rsid w:val="007B3A76"/>
    <w:rsid w:val="007B3E6D"/>
    <w:rsid w:val="007B422C"/>
    <w:rsid w:val="007B435A"/>
    <w:rsid w:val="007B44ED"/>
    <w:rsid w:val="007B4504"/>
    <w:rsid w:val="007B4640"/>
    <w:rsid w:val="007B491A"/>
    <w:rsid w:val="007B4AAC"/>
    <w:rsid w:val="007B4B86"/>
    <w:rsid w:val="007B4C53"/>
    <w:rsid w:val="007B4E6A"/>
    <w:rsid w:val="007B5370"/>
    <w:rsid w:val="007B56A4"/>
    <w:rsid w:val="007B5830"/>
    <w:rsid w:val="007B58A6"/>
    <w:rsid w:val="007B5A3F"/>
    <w:rsid w:val="007B5DDD"/>
    <w:rsid w:val="007B5E98"/>
    <w:rsid w:val="007B5F58"/>
    <w:rsid w:val="007B61F5"/>
    <w:rsid w:val="007B63FA"/>
    <w:rsid w:val="007B66EE"/>
    <w:rsid w:val="007B6756"/>
    <w:rsid w:val="007B6842"/>
    <w:rsid w:val="007B6913"/>
    <w:rsid w:val="007B6CA5"/>
    <w:rsid w:val="007B6DE8"/>
    <w:rsid w:val="007B6FE8"/>
    <w:rsid w:val="007B725D"/>
    <w:rsid w:val="007B7496"/>
    <w:rsid w:val="007B785B"/>
    <w:rsid w:val="007B79C4"/>
    <w:rsid w:val="007B7A87"/>
    <w:rsid w:val="007C02FC"/>
    <w:rsid w:val="007C0562"/>
    <w:rsid w:val="007C0634"/>
    <w:rsid w:val="007C07E3"/>
    <w:rsid w:val="007C0802"/>
    <w:rsid w:val="007C0B0A"/>
    <w:rsid w:val="007C0D71"/>
    <w:rsid w:val="007C0FA7"/>
    <w:rsid w:val="007C12BE"/>
    <w:rsid w:val="007C16D0"/>
    <w:rsid w:val="007C1DD8"/>
    <w:rsid w:val="007C244F"/>
    <w:rsid w:val="007C246F"/>
    <w:rsid w:val="007C2739"/>
    <w:rsid w:val="007C2EEA"/>
    <w:rsid w:val="007C2F68"/>
    <w:rsid w:val="007C31CA"/>
    <w:rsid w:val="007C3ECD"/>
    <w:rsid w:val="007C3FAC"/>
    <w:rsid w:val="007C414F"/>
    <w:rsid w:val="007C4AC1"/>
    <w:rsid w:val="007C4B0F"/>
    <w:rsid w:val="007C4BE4"/>
    <w:rsid w:val="007C4DAD"/>
    <w:rsid w:val="007C5830"/>
    <w:rsid w:val="007C5834"/>
    <w:rsid w:val="007C592A"/>
    <w:rsid w:val="007C5933"/>
    <w:rsid w:val="007C599E"/>
    <w:rsid w:val="007C59E0"/>
    <w:rsid w:val="007C5BF6"/>
    <w:rsid w:val="007C5DB8"/>
    <w:rsid w:val="007C5DCE"/>
    <w:rsid w:val="007C5F2D"/>
    <w:rsid w:val="007C6654"/>
    <w:rsid w:val="007C669F"/>
    <w:rsid w:val="007C6C16"/>
    <w:rsid w:val="007C6CA2"/>
    <w:rsid w:val="007C6F96"/>
    <w:rsid w:val="007C717E"/>
    <w:rsid w:val="007C728C"/>
    <w:rsid w:val="007C72D5"/>
    <w:rsid w:val="007C74C2"/>
    <w:rsid w:val="007C7AB0"/>
    <w:rsid w:val="007D0477"/>
    <w:rsid w:val="007D05B2"/>
    <w:rsid w:val="007D05FA"/>
    <w:rsid w:val="007D062F"/>
    <w:rsid w:val="007D08E5"/>
    <w:rsid w:val="007D0C44"/>
    <w:rsid w:val="007D0CA4"/>
    <w:rsid w:val="007D15B9"/>
    <w:rsid w:val="007D1972"/>
    <w:rsid w:val="007D1F33"/>
    <w:rsid w:val="007D2424"/>
    <w:rsid w:val="007D2842"/>
    <w:rsid w:val="007D2869"/>
    <w:rsid w:val="007D306F"/>
    <w:rsid w:val="007D30C3"/>
    <w:rsid w:val="007D3307"/>
    <w:rsid w:val="007D3485"/>
    <w:rsid w:val="007D36CF"/>
    <w:rsid w:val="007D37FC"/>
    <w:rsid w:val="007D38BF"/>
    <w:rsid w:val="007D3A18"/>
    <w:rsid w:val="007D3BCB"/>
    <w:rsid w:val="007D3C7C"/>
    <w:rsid w:val="007D44A5"/>
    <w:rsid w:val="007D44CE"/>
    <w:rsid w:val="007D45AE"/>
    <w:rsid w:val="007D45C8"/>
    <w:rsid w:val="007D46E5"/>
    <w:rsid w:val="007D47DF"/>
    <w:rsid w:val="007D4A19"/>
    <w:rsid w:val="007D4A50"/>
    <w:rsid w:val="007D4AC5"/>
    <w:rsid w:val="007D4B4D"/>
    <w:rsid w:val="007D4D77"/>
    <w:rsid w:val="007D5070"/>
    <w:rsid w:val="007D5073"/>
    <w:rsid w:val="007D5348"/>
    <w:rsid w:val="007D54F8"/>
    <w:rsid w:val="007D5E27"/>
    <w:rsid w:val="007D640D"/>
    <w:rsid w:val="007D69DD"/>
    <w:rsid w:val="007D6AB0"/>
    <w:rsid w:val="007D6F64"/>
    <w:rsid w:val="007D6FC2"/>
    <w:rsid w:val="007D705C"/>
    <w:rsid w:val="007D71C5"/>
    <w:rsid w:val="007D72C8"/>
    <w:rsid w:val="007D72EB"/>
    <w:rsid w:val="007D7476"/>
    <w:rsid w:val="007D7756"/>
    <w:rsid w:val="007D7F49"/>
    <w:rsid w:val="007E06FC"/>
    <w:rsid w:val="007E0F09"/>
    <w:rsid w:val="007E109F"/>
    <w:rsid w:val="007E1139"/>
    <w:rsid w:val="007E1597"/>
    <w:rsid w:val="007E16D0"/>
    <w:rsid w:val="007E1782"/>
    <w:rsid w:val="007E18B9"/>
    <w:rsid w:val="007E1B11"/>
    <w:rsid w:val="007E1CB3"/>
    <w:rsid w:val="007E1DE4"/>
    <w:rsid w:val="007E23B7"/>
    <w:rsid w:val="007E23CC"/>
    <w:rsid w:val="007E25AB"/>
    <w:rsid w:val="007E2700"/>
    <w:rsid w:val="007E2DD8"/>
    <w:rsid w:val="007E2F41"/>
    <w:rsid w:val="007E2F61"/>
    <w:rsid w:val="007E2F9C"/>
    <w:rsid w:val="007E3910"/>
    <w:rsid w:val="007E39E3"/>
    <w:rsid w:val="007E3B42"/>
    <w:rsid w:val="007E3C43"/>
    <w:rsid w:val="007E3F09"/>
    <w:rsid w:val="007E3F2A"/>
    <w:rsid w:val="007E41AC"/>
    <w:rsid w:val="007E44FC"/>
    <w:rsid w:val="007E5134"/>
    <w:rsid w:val="007E54BD"/>
    <w:rsid w:val="007E554D"/>
    <w:rsid w:val="007E5A2F"/>
    <w:rsid w:val="007E5AC2"/>
    <w:rsid w:val="007E5BB4"/>
    <w:rsid w:val="007E5CDC"/>
    <w:rsid w:val="007E5D0A"/>
    <w:rsid w:val="007E63E7"/>
    <w:rsid w:val="007E6836"/>
    <w:rsid w:val="007E6DD0"/>
    <w:rsid w:val="007E729C"/>
    <w:rsid w:val="007E79B4"/>
    <w:rsid w:val="007E79C5"/>
    <w:rsid w:val="007E7AB1"/>
    <w:rsid w:val="007E7ACA"/>
    <w:rsid w:val="007F00D4"/>
    <w:rsid w:val="007F0163"/>
    <w:rsid w:val="007F05B9"/>
    <w:rsid w:val="007F0798"/>
    <w:rsid w:val="007F0816"/>
    <w:rsid w:val="007F0E17"/>
    <w:rsid w:val="007F114D"/>
    <w:rsid w:val="007F1178"/>
    <w:rsid w:val="007F1967"/>
    <w:rsid w:val="007F1AA5"/>
    <w:rsid w:val="007F1CA5"/>
    <w:rsid w:val="007F206C"/>
    <w:rsid w:val="007F20BD"/>
    <w:rsid w:val="007F22B6"/>
    <w:rsid w:val="007F24D3"/>
    <w:rsid w:val="007F2845"/>
    <w:rsid w:val="007F2A69"/>
    <w:rsid w:val="007F32A6"/>
    <w:rsid w:val="007F38A2"/>
    <w:rsid w:val="007F38F5"/>
    <w:rsid w:val="007F3F40"/>
    <w:rsid w:val="007F3F7A"/>
    <w:rsid w:val="007F438D"/>
    <w:rsid w:val="007F43BC"/>
    <w:rsid w:val="007F4547"/>
    <w:rsid w:val="007F457F"/>
    <w:rsid w:val="007F4740"/>
    <w:rsid w:val="007F49B7"/>
    <w:rsid w:val="007F56DE"/>
    <w:rsid w:val="007F5BFA"/>
    <w:rsid w:val="007F6144"/>
    <w:rsid w:val="007F6955"/>
    <w:rsid w:val="007F6DB4"/>
    <w:rsid w:val="007F72CB"/>
    <w:rsid w:val="007F74FF"/>
    <w:rsid w:val="007F7623"/>
    <w:rsid w:val="007F7A92"/>
    <w:rsid w:val="007F7F6D"/>
    <w:rsid w:val="00800241"/>
    <w:rsid w:val="00800442"/>
    <w:rsid w:val="008006C6"/>
    <w:rsid w:val="0080087A"/>
    <w:rsid w:val="00800C52"/>
    <w:rsid w:val="00800F40"/>
    <w:rsid w:val="00800FB0"/>
    <w:rsid w:val="0080153E"/>
    <w:rsid w:val="0080155A"/>
    <w:rsid w:val="0080167B"/>
    <w:rsid w:val="008018C8"/>
    <w:rsid w:val="00801928"/>
    <w:rsid w:val="00801974"/>
    <w:rsid w:val="00801AC8"/>
    <w:rsid w:val="0080263A"/>
    <w:rsid w:val="00802678"/>
    <w:rsid w:val="008027B5"/>
    <w:rsid w:val="00802AAE"/>
    <w:rsid w:val="00802D94"/>
    <w:rsid w:val="00802FAB"/>
    <w:rsid w:val="00803076"/>
    <w:rsid w:val="0080329D"/>
    <w:rsid w:val="008034EC"/>
    <w:rsid w:val="00803DD8"/>
    <w:rsid w:val="008040B6"/>
    <w:rsid w:val="008042AB"/>
    <w:rsid w:val="008044E3"/>
    <w:rsid w:val="00804CA5"/>
    <w:rsid w:val="0080505B"/>
    <w:rsid w:val="00805560"/>
    <w:rsid w:val="008055A9"/>
    <w:rsid w:val="0080562E"/>
    <w:rsid w:val="00806224"/>
    <w:rsid w:val="00806294"/>
    <w:rsid w:val="008065E1"/>
    <w:rsid w:val="00806934"/>
    <w:rsid w:val="008069CF"/>
    <w:rsid w:val="00806BA6"/>
    <w:rsid w:val="00806BB0"/>
    <w:rsid w:val="00806D0E"/>
    <w:rsid w:val="00806EE4"/>
    <w:rsid w:val="008070F4"/>
    <w:rsid w:val="00807149"/>
    <w:rsid w:val="00807211"/>
    <w:rsid w:val="00807423"/>
    <w:rsid w:val="0080742D"/>
    <w:rsid w:val="00807AC9"/>
    <w:rsid w:val="00807AED"/>
    <w:rsid w:val="008100AC"/>
    <w:rsid w:val="00810548"/>
    <w:rsid w:val="008105C0"/>
    <w:rsid w:val="00810748"/>
    <w:rsid w:val="00810BEE"/>
    <w:rsid w:val="00810C05"/>
    <w:rsid w:val="00810E61"/>
    <w:rsid w:val="008111C6"/>
    <w:rsid w:val="008113A0"/>
    <w:rsid w:val="00811443"/>
    <w:rsid w:val="0081151E"/>
    <w:rsid w:val="00811A5F"/>
    <w:rsid w:val="00811E59"/>
    <w:rsid w:val="008122D2"/>
    <w:rsid w:val="008123B5"/>
    <w:rsid w:val="00812498"/>
    <w:rsid w:val="008127E6"/>
    <w:rsid w:val="00812988"/>
    <w:rsid w:val="00812B8B"/>
    <w:rsid w:val="0081320A"/>
    <w:rsid w:val="0081336E"/>
    <w:rsid w:val="00813469"/>
    <w:rsid w:val="008134F0"/>
    <w:rsid w:val="00813557"/>
    <w:rsid w:val="008136E6"/>
    <w:rsid w:val="00813874"/>
    <w:rsid w:val="00813928"/>
    <w:rsid w:val="008139F5"/>
    <w:rsid w:val="00814588"/>
    <w:rsid w:val="00814AC8"/>
    <w:rsid w:val="00814FAC"/>
    <w:rsid w:val="00815068"/>
    <w:rsid w:val="008154CC"/>
    <w:rsid w:val="008154EC"/>
    <w:rsid w:val="00815738"/>
    <w:rsid w:val="0081578F"/>
    <w:rsid w:val="008159B8"/>
    <w:rsid w:val="00815BDF"/>
    <w:rsid w:val="00815BEA"/>
    <w:rsid w:val="00815C69"/>
    <w:rsid w:val="00815EDC"/>
    <w:rsid w:val="008165D1"/>
    <w:rsid w:val="008168D9"/>
    <w:rsid w:val="00816978"/>
    <w:rsid w:val="00817635"/>
    <w:rsid w:val="00817BBE"/>
    <w:rsid w:val="00817F8F"/>
    <w:rsid w:val="00820386"/>
    <w:rsid w:val="0082049A"/>
    <w:rsid w:val="008207FD"/>
    <w:rsid w:val="00820A0F"/>
    <w:rsid w:val="00820A46"/>
    <w:rsid w:val="00820D54"/>
    <w:rsid w:val="00820DC7"/>
    <w:rsid w:val="00820FFB"/>
    <w:rsid w:val="0082120C"/>
    <w:rsid w:val="0082167B"/>
    <w:rsid w:val="00821698"/>
    <w:rsid w:val="0082185B"/>
    <w:rsid w:val="00821BF7"/>
    <w:rsid w:val="0082211C"/>
    <w:rsid w:val="008221BB"/>
    <w:rsid w:val="008221FE"/>
    <w:rsid w:val="008222C7"/>
    <w:rsid w:val="008227DF"/>
    <w:rsid w:val="00822B22"/>
    <w:rsid w:val="00822BF5"/>
    <w:rsid w:val="00823079"/>
    <w:rsid w:val="008237FE"/>
    <w:rsid w:val="00823ACB"/>
    <w:rsid w:val="00823EFA"/>
    <w:rsid w:val="00823F67"/>
    <w:rsid w:val="00823F72"/>
    <w:rsid w:val="00823FA8"/>
    <w:rsid w:val="008240C8"/>
    <w:rsid w:val="0082410B"/>
    <w:rsid w:val="008247CF"/>
    <w:rsid w:val="00824894"/>
    <w:rsid w:val="00824C33"/>
    <w:rsid w:val="00824FE8"/>
    <w:rsid w:val="00824FFF"/>
    <w:rsid w:val="00825028"/>
    <w:rsid w:val="00825226"/>
    <w:rsid w:val="00825366"/>
    <w:rsid w:val="00825A9F"/>
    <w:rsid w:val="00825AD3"/>
    <w:rsid w:val="00825E84"/>
    <w:rsid w:val="008261F6"/>
    <w:rsid w:val="008262A7"/>
    <w:rsid w:val="00826934"/>
    <w:rsid w:val="00826C7B"/>
    <w:rsid w:val="00826DC5"/>
    <w:rsid w:val="00826DD9"/>
    <w:rsid w:val="00826E01"/>
    <w:rsid w:val="00826F04"/>
    <w:rsid w:val="008277A8"/>
    <w:rsid w:val="008278B6"/>
    <w:rsid w:val="0083025A"/>
    <w:rsid w:val="00830442"/>
    <w:rsid w:val="008307ED"/>
    <w:rsid w:val="008309DD"/>
    <w:rsid w:val="00830B3B"/>
    <w:rsid w:val="00830BBF"/>
    <w:rsid w:val="00830D21"/>
    <w:rsid w:val="00831076"/>
    <w:rsid w:val="00831331"/>
    <w:rsid w:val="00831660"/>
    <w:rsid w:val="00831E18"/>
    <w:rsid w:val="00831FF0"/>
    <w:rsid w:val="00832E2C"/>
    <w:rsid w:val="00833134"/>
    <w:rsid w:val="00833369"/>
    <w:rsid w:val="0083350F"/>
    <w:rsid w:val="0083353F"/>
    <w:rsid w:val="008337BC"/>
    <w:rsid w:val="00833864"/>
    <w:rsid w:val="008339EC"/>
    <w:rsid w:val="00833A2C"/>
    <w:rsid w:val="00833C8D"/>
    <w:rsid w:val="00833F61"/>
    <w:rsid w:val="00834358"/>
    <w:rsid w:val="0083446D"/>
    <w:rsid w:val="008346BD"/>
    <w:rsid w:val="00834814"/>
    <w:rsid w:val="00834923"/>
    <w:rsid w:val="00834B12"/>
    <w:rsid w:val="00834C45"/>
    <w:rsid w:val="00834F9B"/>
    <w:rsid w:val="0083567A"/>
    <w:rsid w:val="00835959"/>
    <w:rsid w:val="008359EB"/>
    <w:rsid w:val="00835B6A"/>
    <w:rsid w:val="00835E26"/>
    <w:rsid w:val="00835E31"/>
    <w:rsid w:val="00835E57"/>
    <w:rsid w:val="008361BC"/>
    <w:rsid w:val="00836216"/>
    <w:rsid w:val="008362CA"/>
    <w:rsid w:val="00836B7A"/>
    <w:rsid w:val="00836E7D"/>
    <w:rsid w:val="008372C3"/>
    <w:rsid w:val="00837563"/>
    <w:rsid w:val="008375A0"/>
    <w:rsid w:val="008375B5"/>
    <w:rsid w:val="0083760A"/>
    <w:rsid w:val="00837626"/>
    <w:rsid w:val="00837A4D"/>
    <w:rsid w:val="00837B90"/>
    <w:rsid w:val="00837C00"/>
    <w:rsid w:val="00837DF1"/>
    <w:rsid w:val="00837F61"/>
    <w:rsid w:val="00840538"/>
    <w:rsid w:val="00840904"/>
    <w:rsid w:val="008409AA"/>
    <w:rsid w:val="00840CC0"/>
    <w:rsid w:val="00840DAD"/>
    <w:rsid w:val="00840FB8"/>
    <w:rsid w:val="00841BC5"/>
    <w:rsid w:val="00841F9F"/>
    <w:rsid w:val="008420A0"/>
    <w:rsid w:val="0084239E"/>
    <w:rsid w:val="0084260C"/>
    <w:rsid w:val="00842A43"/>
    <w:rsid w:val="00842AE8"/>
    <w:rsid w:val="00842E0C"/>
    <w:rsid w:val="00843230"/>
    <w:rsid w:val="00843A7A"/>
    <w:rsid w:val="00843F2A"/>
    <w:rsid w:val="0084424F"/>
    <w:rsid w:val="0084429F"/>
    <w:rsid w:val="0084473D"/>
    <w:rsid w:val="008447F5"/>
    <w:rsid w:val="00844B6F"/>
    <w:rsid w:val="00844E96"/>
    <w:rsid w:val="0084504C"/>
    <w:rsid w:val="00845073"/>
    <w:rsid w:val="00845645"/>
    <w:rsid w:val="00845D94"/>
    <w:rsid w:val="00846196"/>
    <w:rsid w:val="00846292"/>
    <w:rsid w:val="008464A2"/>
    <w:rsid w:val="008465DF"/>
    <w:rsid w:val="00846AAC"/>
    <w:rsid w:val="00846B5B"/>
    <w:rsid w:val="00847208"/>
    <w:rsid w:val="0084748E"/>
    <w:rsid w:val="00847C7A"/>
    <w:rsid w:val="0085040E"/>
    <w:rsid w:val="008506E1"/>
    <w:rsid w:val="00850D96"/>
    <w:rsid w:val="00850DBC"/>
    <w:rsid w:val="00850F4E"/>
    <w:rsid w:val="008515EE"/>
    <w:rsid w:val="00851A8E"/>
    <w:rsid w:val="00851B60"/>
    <w:rsid w:val="00851DB8"/>
    <w:rsid w:val="00851EC7"/>
    <w:rsid w:val="00852418"/>
    <w:rsid w:val="00852481"/>
    <w:rsid w:val="00852585"/>
    <w:rsid w:val="00852729"/>
    <w:rsid w:val="008528D3"/>
    <w:rsid w:val="00852B28"/>
    <w:rsid w:val="00852B47"/>
    <w:rsid w:val="00852C88"/>
    <w:rsid w:val="008535B6"/>
    <w:rsid w:val="008536AF"/>
    <w:rsid w:val="008538FE"/>
    <w:rsid w:val="00853B2F"/>
    <w:rsid w:val="00853CDA"/>
    <w:rsid w:val="008542CD"/>
    <w:rsid w:val="008542E2"/>
    <w:rsid w:val="00854553"/>
    <w:rsid w:val="008549B1"/>
    <w:rsid w:val="00854C65"/>
    <w:rsid w:val="00854E0F"/>
    <w:rsid w:val="00854EBB"/>
    <w:rsid w:val="00854EBC"/>
    <w:rsid w:val="00854F07"/>
    <w:rsid w:val="00855078"/>
    <w:rsid w:val="00855330"/>
    <w:rsid w:val="00855618"/>
    <w:rsid w:val="0085583E"/>
    <w:rsid w:val="0085584F"/>
    <w:rsid w:val="00855B86"/>
    <w:rsid w:val="00856053"/>
    <w:rsid w:val="008563CB"/>
    <w:rsid w:val="00856592"/>
    <w:rsid w:val="008566B6"/>
    <w:rsid w:val="00856D47"/>
    <w:rsid w:val="00856E0A"/>
    <w:rsid w:val="00856FB6"/>
    <w:rsid w:val="0085712E"/>
    <w:rsid w:val="008572BD"/>
    <w:rsid w:val="0085736B"/>
    <w:rsid w:val="0085761B"/>
    <w:rsid w:val="008576FE"/>
    <w:rsid w:val="00860303"/>
    <w:rsid w:val="008605A6"/>
    <w:rsid w:val="008605EE"/>
    <w:rsid w:val="00860874"/>
    <w:rsid w:val="008609A3"/>
    <w:rsid w:val="00860F2F"/>
    <w:rsid w:val="0086147C"/>
    <w:rsid w:val="00862008"/>
    <w:rsid w:val="008620DE"/>
    <w:rsid w:val="00862106"/>
    <w:rsid w:val="00862280"/>
    <w:rsid w:val="0086253D"/>
    <w:rsid w:val="00862720"/>
    <w:rsid w:val="008628C8"/>
    <w:rsid w:val="00862B2A"/>
    <w:rsid w:val="00862DCA"/>
    <w:rsid w:val="008630B9"/>
    <w:rsid w:val="0086327A"/>
    <w:rsid w:val="008636A3"/>
    <w:rsid w:val="00863BA1"/>
    <w:rsid w:val="00863D0C"/>
    <w:rsid w:val="00863F37"/>
    <w:rsid w:val="0086406B"/>
    <w:rsid w:val="008640BD"/>
    <w:rsid w:val="008644A4"/>
    <w:rsid w:val="00864699"/>
    <w:rsid w:val="0086498C"/>
    <w:rsid w:val="00864C8C"/>
    <w:rsid w:val="00864EFE"/>
    <w:rsid w:val="00864F39"/>
    <w:rsid w:val="0086586E"/>
    <w:rsid w:val="008659FB"/>
    <w:rsid w:val="00865B45"/>
    <w:rsid w:val="00865C9D"/>
    <w:rsid w:val="00865DE1"/>
    <w:rsid w:val="00865FEE"/>
    <w:rsid w:val="0086691C"/>
    <w:rsid w:val="00866C87"/>
    <w:rsid w:val="00866DB5"/>
    <w:rsid w:val="0086709D"/>
    <w:rsid w:val="0086715F"/>
    <w:rsid w:val="00867594"/>
    <w:rsid w:val="00867651"/>
    <w:rsid w:val="00867787"/>
    <w:rsid w:val="00867B5A"/>
    <w:rsid w:val="0087018E"/>
    <w:rsid w:val="00870342"/>
    <w:rsid w:val="008705E5"/>
    <w:rsid w:val="008705F3"/>
    <w:rsid w:val="00870D8E"/>
    <w:rsid w:val="00870DF4"/>
    <w:rsid w:val="008716C2"/>
    <w:rsid w:val="00871F48"/>
    <w:rsid w:val="00872108"/>
    <w:rsid w:val="0087211A"/>
    <w:rsid w:val="00872136"/>
    <w:rsid w:val="00872294"/>
    <w:rsid w:val="00872498"/>
    <w:rsid w:val="008725A0"/>
    <w:rsid w:val="008727F9"/>
    <w:rsid w:val="008729CA"/>
    <w:rsid w:val="00872E98"/>
    <w:rsid w:val="0087338A"/>
    <w:rsid w:val="0087353A"/>
    <w:rsid w:val="008737CB"/>
    <w:rsid w:val="00873A69"/>
    <w:rsid w:val="00873C3D"/>
    <w:rsid w:val="00874009"/>
    <w:rsid w:val="00874158"/>
    <w:rsid w:val="008743F3"/>
    <w:rsid w:val="0087444A"/>
    <w:rsid w:val="00874D62"/>
    <w:rsid w:val="00875139"/>
    <w:rsid w:val="00875410"/>
    <w:rsid w:val="00875439"/>
    <w:rsid w:val="00875BB5"/>
    <w:rsid w:val="00875C80"/>
    <w:rsid w:val="00875D5A"/>
    <w:rsid w:val="00876A4D"/>
    <w:rsid w:val="00876B75"/>
    <w:rsid w:val="00876E14"/>
    <w:rsid w:val="00876F6A"/>
    <w:rsid w:val="0087706A"/>
    <w:rsid w:val="008772CF"/>
    <w:rsid w:val="008773A6"/>
    <w:rsid w:val="00877BDA"/>
    <w:rsid w:val="00877DA3"/>
    <w:rsid w:val="00877E90"/>
    <w:rsid w:val="00880528"/>
    <w:rsid w:val="00880932"/>
    <w:rsid w:val="00880C58"/>
    <w:rsid w:val="00880EDF"/>
    <w:rsid w:val="008811FD"/>
    <w:rsid w:val="008812AD"/>
    <w:rsid w:val="00881CD6"/>
    <w:rsid w:val="00881E00"/>
    <w:rsid w:val="00882024"/>
    <w:rsid w:val="0088208D"/>
    <w:rsid w:val="00882138"/>
    <w:rsid w:val="0088213E"/>
    <w:rsid w:val="00882781"/>
    <w:rsid w:val="00882C1A"/>
    <w:rsid w:val="00882DE6"/>
    <w:rsid w:val="008831D8"/>
    <w:rsid w:val="008835CC"/>
    <w:rsid w:val="008839B6"/>
    <w:rsid w:val="008839E0"/>
    <w:rsid w:val="00883A20"/>
    <w:rsid w:val="00883A36"/>
    <w:rsid w:val="00883AAE"/>
    <w:rsid w:val="00883AD2"/>
    <w:rsid w:val="00883D4D"/>
    <w:rsid w:val="00883F19"/>
    <w:rsid w:val="00884007"/>
    <w:rsid w:val="008845F4"/>
    <w:rsid w:val="00884B59"/>
    <w:rsid w:val="00884EA7"/>
    <w:rsid w:val="008850BA"/>
    <w:rsid w:val="008851EF"/>
    <w:rsid w:val="00885580"/>
    <w:rsid w:val="00885876"/>
    <w:rsid w:val="00885978"/>
    <w:rsid w:val="008859AF"/>
    <w:rsid w:val="00885B52"/>
    <w:rsid w:val="00885E68"/>
    <w:rsid w:val="00886185"/>
    <w:rsid w:val="008861D9"/>
    <w:rsid w:val="0088638C"/>
    <w:rsid w:val="0088671C"/>
    <w:rsid w:val="00886840"/>
    <w:rsid w:val="00886EDF"/>
    <w:rsid w:val="00887011"/>
    <w:rsid w:val="008870AD"/>
    <w:rsid w:val="008870E8"/>
    <w:rsid w:val="00887A58"/>
    <w:rsid w:val="00887ADC"/>
    <w:rsid w:val="00887E1E"/>
    <w:rsid w:val="00887F05"/>
    <w:rsid w:val="00890478"/>
    <w:rsid w:val="008908E5"/>
    <w:rsid w:val="00890D2D"/>
    <w:rsid w:val="00890E2E"/>
    <w:rsid w:val="00891160"/>
    <w:rsid w:val="00891216"/>
    <w:rsid w:val="0089127F"/>
    <w:rsid w:val="00891699"/>
    <w:rsid w:val="00892118"/>
    <w:rsid w:val="0089242E"/>
    <w:rsid w:val="008925A5"/>
    <w:rsid w:val="00892D1F"/>
    <w:rsid w:val="00892E4B"/>
    <w:rsid w:val="00893193"/>
    <w:rsid w:val="00893213"/>
    <w:rsid w:val="00893614"/>
    <w:rsid w:val="00893849"/>
    <w:rsid w:val="008938E3"/>
    <w:rsid w:val="00893A67"/>
    <w:rsid w:val="00893AEA"/>
    <w:rsid w:val="00893C69"/>
    <w:rsid w:val="00893E85"/>
    <w:rsid w:val="008943B3"/>
    <w:rsid w:val="00894A41"/>
    <w:rsid w:val="00894B58"/>
    <w:rsid w:val="00894FAD"/>
    <w:rsid w:val="00894FDC"/>
    <w:rsid w:val="008950B7"/>
    <w:rsid w:val="0089543A"/>
    <w:rsid w:val="008955D5"/>
    <w:rsid w:val="008957D3"/>
    <w:rsid w:val="00895A39"/>
    <w:rsid w:val="00896394"/>
    <w:rsid w:val="00896414"/>
    <w:rsid w:val="00896F04"/>
    <w:rsid w:val="0089716F"/>
    <w:rsid w:val="00897768"/>
    <w:rsid w:val="00897C71"/>
    <w:rsid w:val="00897DB1"/>
    <w:rsid w:val="008A02EE"/>
    <w:rsid w:val="008A0551"/>
    <w:rsid w:val="008A063F"/>
    <w:rsid w:val="008A077D"/>
    <w:rsid w:val="008A0BDF"/>
    <w:rsid w:val="008A0E51"/>
    <w:rsid w:val="008A0F54"/>
    <w:rsid w:val="008A165E"/>
    <w:rsid w:val="008A16F9"/>
    <w:rsid w:val="008A1773"/>
    <w:rsid w:val="008A17FC"/>
    <w:rsid w:val="008A1A64"/>
    <w:rsid w:val="008A1B3B"/>
    <w:rsid w:val="008A1C01"/>
    <w:rsid w:val="008A1D3E"/>
    <w:rsid w:val="008A1E55"/>
    <w:rsid w:val="008A1F66"/>
    <w:rsid w:val="008A203A"/>
    <w:rsid w:val="008A2257"/>
    <w:rsid w:val="008A246E"/>
    <w:rsid w:val="008A28D4"/>
    <w:rsid w:val="008A2A58"/>
    <w:rsid w:val="008A3038"/>
    <w:rsid w:val="008A31A4"/>
    <w:rsid w:val="008A31FB"/>
    <w:rsid w:val="008A32EB"/>
    <w:rsid w:val="008A33F9"/>
    <w:rsid w:val="008A3B93"/>
    <w:rsid w:val="008A4353"/>
    <w:rsid w:val="008A4562"/>
    <w:rsid w:val="008A47EA"/>
    <w:rsid w:val="008A48D3"/>
    <w:rsid w:val="008A4B16"/>
    <w:rsid w:val="008A4D63"/>
    <w:rsid w:val="008A4E11"/>
    <w:rsid w:val="008A4F4F"/>
    <w:rsid w:val="008A5213"/>
    <w:rsid w:val="008A55CB"/>
    <w:rsid w:val="008A5735"/>
    <w:rsid w:val="008A601E"/>
    <w:rsid w:val="008A6115"/>
    <w:rsid w:val="008A620C"/>
    <w:rsid w:val="008A6213"/>
    <w:rsid w:val="008A625C"/>
    <w:rsid w:val="008A6586"/>
    <w:rsid w:val="008A6832"/>
    <w:rsid w:val="008A6993"/>
    <w:rsid w:val="008A6D62"/>
    <w:rsid w:val="008A7135"/>
    <w:rsid w:val="008A76E1"/>
    <w:rsid w:val="008B00F3"/>
    <w:rsid w:val="008B033B"/>
    <w:rsid w:val="008B0618"/>
    <w:rsid w:val="008B08A6"/>
    <w:rsid w:val="008B09C9"/>
    <w:rsid w:val="008B0A81"/>
    <w:rsid w:val="008B0FAB"/>
    <w:rsid w:val="008B13E9"/>
    <w:rsid w:val="008B15DA"/>
    <w:rsid w:val="008B1C0E"/>
    <w:rsid w:val="008B1D6B"/>
    <w:rsid w:val="008B1FAA"/>
    <w:rsid w:val="008B2043"/>
    <w:rsid w:val="008B210D"/>
    <w:rsid w:val="008B2257"/>
    <w:rsid w:val="008B2354"/>
    <w:rsid w:val="008B2436"/>
    <w:rsid w:val="008B2777"/>
    <w:rsid w:val="008B2AF1"/>
    <w:rsid w:val="008B2B41"/>
    <w:rsid w:val="008B2CBB"/>
    <w:rsid w:val="008B31AB"/>
    <w:rsid w:val="008B3614"/>
    <w:rsid w:val="008B36A5"/>
    <w:rsid w:val="008B39B8"/>
    <w:rsid w:val="008B39BC"/>
    <w:rsid w:val="008B3B51"/>
    <w:rsid w:val="008B3D5B"/>
    <w:rsid w:val="008B3EEB"/>
    <w:rsid w:val="008B3F33"/>
    <w:rsid w:val="008B4057"/>
    <w:rsid w:val="008B4145"/>
    <w:rsid w:val="008B43DF"/>
    <w:rsid w:val="008B4689"/>
    <w:rsid w:val="008B4874"/>
    <w:rsid w:val="008B49DE"/>
    <w:rsid w:val="008B4FCD"/>
    <w:rsid w:val="008B5071"/>
    <w:rsid w:val="008B5290"/>
    <w:rsid w:val="008B5633"/>
    <w:rsid w:val="008B59B7"/>
    <w:rsid w:val="008B5EC8"/>
    <w:rsid w:val="008B639F"/>
    <w:rsid w:val="008B6A40"/>
    <w:rsid w:val="008B72EC"/>
    <w:rsid w:val="008B75EC"/>
    <w:rsid w:val="008C04A2"/>
    <w:rsid w:val="008C04DC"/>
    <w:rsid w:val="008C09D1"/>
    <w:rsid w:val="008C11CB"/>
    <w:rsid w:val="008C1246"/>
    <w:rsid w:val="008C1716"/>
    <w:rsid w:val="008C18EE"/>
    <w:rsid w:val="008C1EDA"/>
    <w:rsid w:val="008C275C"/>
    <w:rsid w:val="008C2CFD"/>
    <w:rsid w:val="008C2EB3"/>
    <w:rsid w:val="008C338A"/>
    <w:rsid w:val="008C39B0"/>
    <w:rsid w:val="008C3AF8"/>
    <w:rsid w:val="008C3DA6"/>
    <w:rsid w:val="008C3FDC"/>
    <w:rsid w:val="008C47AD"/>
    <w:rsid w:val="008C4FA8"/>
    <w:rsid w:val="008C51CB"/>
    <w:rsid w:val="008C53E4"/>
    <w:rsid w:val="008C58BD"/>
    <w:rsid w:val="008C5CEA"/>
    <w:rsid w:val="008C603A"/>
    <w:rsid w:val="008C66B3"/>
    <w:rsid w:val="008C68C4"/>
    <w:rsid w:val="008C6A2F"/>
    <w:rsid w:val="008C6ED4"/>
    <w:rsid w:val="008C71C8"/>
    <w:rsid w:val="008D0F85"/>
    <w:rsid w:val="008D1261"/>
    <w:rsid w:val="008D13EE"/>
    <w:rsid w:val="008D145A"/>
    <w:rsid w:val="008D14CD"/>
    <w:rsid w:val="008D14F3"/>
    <w:rsid w:val="008D167D"/>
    <w:rsid w:val="008D1ADE"/>
    <w:rsid w:val="008D2189"/>
    <w:rsid w:val="008D22A7"/>
    <w:rsid w:val="008D24B8"/>
    <w:rsid w:val="008D299F"/>
    <w:rsid w:val="008D2A8F"/>
    <w:rsid w:val="008D2C83"/>
    <w:rsid w:val="008D300E"/>
    <w:rsid w:val="008D3023"/>
    <w:rsid w:val="008D30A9"/>
    <w:rsid w:val="008D3116"/>
    <w:rsid w:val="008D3636"/>
    <w:rsid w:val="008D3C73"/>
    <w:rsid w:val="008D46D0"/>
    <w:rsid w:val="008D4744"/>
    <w:rsid w:val="008D4751"/>
    <w:rsid w:val="008D492A"/>
    <w:rsid w:val="008D4B58"/>
    <w:rsid w:val="008D4B7F"/>
    <w:rsid w:val="008D4B8A"/>
    <w:rsid w:val="008D5052"/>
    <w:rsid w:val="008D50E1"/>
    <w:rsid w:val="008D56E5"/>
    <w:rsid w:val="008D6541"/>
    <w:rsid w:val="008D65D3"/>
    <w:rsid w:val="008D6AC1"/>
    <w:rsid w:val="008D755E"/>
    <w:rsid w:val="008D7C7B"/>
    <w:rsid w:val="008D7D6C"/>
    <w:rsid w:val="008D7D7B"/>
    <w:rsid w:val="008D7E55"/>
    <w:rsid w:val="008E0043"/>
    <w:rsid w:val="008E01B3"/>
    <w:rsid w:val="008E0336"/>
    <w:rsid w:val="008E03DE"/>
    <w:rsid w:val="008E06EE"/>
    <w:rsid w:val="008E0AE8"/>
    <w:rsid w:val="008E0B71"/>
    <w:rsid w:val="008E0D03"/>
    <w:rsid w:val="008E0F52"/>
    <w:rsid w:val="008E1339"/>
    <w:rsid w:val="008E147C"/>
    <w:rsid w:val="008E156A"/>
    <w:rsid w:val="008E157F"/>
    <w:rsid w:val="008E15D9"/>
    <w:rsid w:val="008E1A9B"/>
    <w:rsid w:val="008E1F79"/>
    <w:rsid w:val="008E1F7A"/>
    <w:rsid w:val="008E216C"/>
    <w:rsid w:val="008E21E3"/>
    <w:rsid w:val="008E227C"/>
    <w:rsid w:val="008E2316"/>
    <w:rsid w:val="008E2A8A"/>
    <w:rsid w:val="008E2DA0"/>
    <w:rsid w:val="008E3063"/>
    <w:rsid w:val="008E310B"/>
    <w:rsid w:val="008E34BE"/>
    <w:rsid w:val="008E352B"/>
    <w:rsid w:val="008E379F"/>
    <w:rsid w:val="008E3994"/>
    <w:rsid w:val="008E3A78"/>
    <w:rsid w:val="008E3AA8"/>
    <w:rsid w:val="008E3D43"/>
    <w:rsid w:val="008E3E42"/>
    <w:rsid w:val="008E3E57"/>
    <w:rsid w:val="008E419B"/>
    <w:rsid w:val="008E42CE"/>
    <w:rsid w:val="008E42F4"/>
    <w:rsid w:val="008E4333"/>
    <w:rsid w:val="008E4605"/>
    <w:rsid w:val="008E466E"/>
    <w:rsid w:val="008E490F"/>
    <w:rsid w:val="008E4A31"/>
    <w:rsid w:val="008E4CA2"/>
    <w:rsid w:val="008E50EC"/>
    <w:rsid w:val="008E53A9"/>
    <w:rsid w:val="008E53DD"/>
    <w:rsid w:val="008E5657"/>
    <w:rsid w:val="008E56FE"/>
    <w:rsid w:val="008E573A"/>
    <w:rsid w:val="008E59D9"/>
    <w:rsid w:val="008E59E1"/>
    <w:rsid w:val="008E5E51"/>
    <w:rsid w:val="008E6214"/>
    <w:rsid w:val="008E6538"/>
    <w:rsid w:val="008E6578"/>
    <w:rsid w:val="008E660F"/>
    <w:rsid w:val="008E67D5"/>
    <w:rsid w:val="008E67FD"/>
    <w:rsid w:val="008E6BD3"/>
    <w:rsid w:val="008E6C53"/>
    <w:rsid w:val="008E74FE"/>
    <w:rsid w:val="008E7FC1"/>
    <w:rsid w:val="008F00DB"/>
    <w:rsid w:val="008F047C"/>
    <w:rsid w:val="008F084E"/>
    <w:rsid w:val="008F0877"/>
    <w:rsid w:val="008F09C4"/>
    <w:rsid w:val="008F111E"/>
    <w:rsid w:val="008F115C"/>
    <w:rsid w:val="008F1230"/>
    <w:rsid w:val="008F1264"/>
    <w:rsid w:val="008F150B"/>
    <w:rsid w:val="008F181C"/>
    <w:rsid w:val="008F1A62"/>
    <w:rsid w:val="008F1F01"/>
    <w:rsid w:val="008F202E"/>
    <w:rsid w:val="008F22D1"/>
    <w:rsid w:val="008F2633"/>
    <w:rsid w:val="008F2638"/>
    <w:rsid w:val="008F267B"/>
    <w:rsid w:val="008F26CD"/>
    <w:rsid w:val="008F2908"/>
    <w:rsid w:val="008F2FB4"/>
    <w:rsid w:val="008F33CC"/>
    <w:rsid w:val="008F3FC3"/>
    <w:rsid w:val="008F4424"/>
    <w:rsid w:val="008F45F0"/>
    <w:rsid w:val="008F47C6"/>
    <w:rsid w:val="008F4FE4"/>
    <w:rsid w:val="008F514F"/>
    <w:rsid w:val="008F52DA"/>
    <w:rsid w:val="008F53AA"/>
    <w:rsid w:val="008F56DA"/>
    <w:rsid w:val="008F5A0A"/>
    <w:rsid w:val="008F5FD6"/>
    <w:rsid w:val="008F6311"/>
    <w:rsid w:val="008F65FE"/>
    <w:rsid w:val="008F6647"/>
    <w:rsid w:val="008F66F8"/>
    <w:rsid w:val="008F700E"/>
    <w:rsid w:val="008F736A"/>
    <w:rsid w:val="008F7F79"/>
    <w:rsid w:val="00900116"/>
    <w:rsid w:val="00900129"/>
    <w:rsid w:val="00900343"/>
    <w:rsid w:val="0090067C"/>
    <w:rsid w:val="009006A2"/>
    <w:rsid w:val="00900720"/>
    <w:rsid w:val="009009D3"/>
    <w:rsid w:val="00900CF1"/>
    <w:rsid w:val="0090102B"/>
    <w:rsid w:val="0090122E"/>
    <w:rsid w:val="00901448"/>
    <w:rsid w:val="00901579"/>
    <w:rsid w:val="00901AF7"/>
    <w:rsid w:val="00901CD2"/>
    <w:rsid w:val="00901F13"/>
    <w:rsid w:val="00902023"/>
    <w:rsid w:val="009034D3"/>
    <w:rsid w:val="00903559"/>
    <w:rsid w:val="009036BC"/>
    <w:rsid w:val="00903D30"/>
    <w:rsid w:val="00904205"/>
    <w:rsid w:val="00904414"/>
    <w:rsid w:val="009045AE"/>
    <w:rsid w:val="00904CFE"/>
    <w:rsid w:val="00904D7D"/>
    <w:rsid w:val="0090501E"/>
    <w:rsid w:val="00905197"/>
    <w:rsid w:val="0090533C"/>
    <w:rsid w:val="009056B3"/>
    <w:rsid w:val="0090571C"/>
    <w:rsid w:val="0090575E"/>
    <w:rsid w:val="00905828"/>
    <w:rsid w:val="00905BC7"/>
    <w:rsid w:val="00905C3F"/>
    <w:rsid w:val="00905C47"/>
    <w:rsid w:val="00905EBE"/>
    <w:rsid w:val="00906379"/>
    <w:rsid w:val="00906702"/>
    <w:rsid w:val="00906875"/>
    <w:rsid w:val="00906A8C"/>
    <w:rsid w:val="00906ED2"/>
    <w:rsid w:val="00907142"/>
    <w:rsid w:val="009073E7"/>
    <w:rsid w:val="009076DE"/>
    <w:rsid w:val="00907C81"/>
    <w:rsid w:val="00907E1D"/>
    <w:rsid w:val="009101EA"/>
    <w:rsid w:val="009105DA"/>
    <w:rsid w:val="009106FC"/>
    <w:rsid w:val="009108E5"/>
    <w:rsid w:val="00910D63"/>
    <w:rsid w:val="009113C9"/>
    <w:rsid w:val="0091142F"/>
    <w:rsid w:val="009116B0"/>
    <w:rsid w:val="009118BB"/>
    <w:rsid w:val="0091191F"/>
    <w:rsid w:val="00911A9C"/>
    <w:rsid w:val="00911E7D"/>
    <w:rsid w:val="009120A9"/>
    <w:rsid w:val="00912135"/>
    <w:rsid w:val="00912202"/>
    <w:rsid w:val="009126AD"/>
    <w:rsid w:val="00912876"/>
    <w:rsid w:val="00912CBF"/>
    <w:rsid w:val="00913446"/>
    <w:rsid w:val="009134C3"/>
    <w:rsid w:val="0091353F"/>
    <w:rsid w:val="00913982"/>
    <w:rsid w:val="00913C7A"/>
    <w:rsid w:val="0091445F"/>
    <w:rsid w:val="00914B30"/>
    <w:rsid w:val="00914D3E"/>
    <w:rsid w:val="00914EF9"/>
    <w:rsid w:val="0091574C"/>
    <w:rsid w:val="009158A5"/>
    <w:rsid w:val="00915B81"/>
    <w:rsid w:val="00915D6B"/>
    <w:rsid w:val="00915FFB"/>
    <w:rsid w:val="009160DF"/>
    <w:rsid w:val="009160F9"/>
    <w:rsid w:val="0091628A"/>
    <w:rsid w:val="009162C7"/>
    <w:rsid w:val="00916A7F"/>
    <w:rsid w:val="00916AB9"/>
    <w:rsid w:val="00916ABA"/>
    <w:rsid w:val="00916B9C"/>
    <w:rsid w:val="00916EBC"/>
    <w:rsid w:val="00916EC2"/>
    <w:rsid w:val="009170DA"/>
    <w:rsid w:val="0091727D"/>
    <w:rsid w:val="00917441"/>
    <w:rsid w:val="009178AB"/>
    <w:rsid w:val="00917B10"/>
    <w:rsid w:val="00917B6A"/>
    <w:rsid w:val="009200EE"/>
    <w:rsid w:val="00920327"/>
    <w:rsid w:val="0092049B"/>
    <w:rsid w:val="00920A38"/>
    <w:rsid w:val="00920C0F"/>
    <w:rsid w:val="00920D23"/>
    <w:rsid w:val="00920D8F"/>
    <w:rsid w:val="00921069"/>
    <w:rsid w:val="009211A7"/>
    <w:rsid w:val="009213BD"/>
    <w:rsid w:val="009216A9"/>
    <w:rsid w:val="009218AF"/>
    <w:rsid w:val="0092198D"/>
    <w:rsid w:val="00921A52"/>
    <w:rsid w:val="00921A55"/>
    <w:rsid w:val="00921BF6"/>
    <w:rsid w:val="00921DA3"/>
    <w:rsid w:val="00921EE5"/>
    <w:rsid w:val="009230A6"/>
    <w:rsid w:val="009233EC"/>
    <w:rsid w:val="00924479"/>
    <w:rsid w:val="00924627"/>
    <w:rsid w:val="009248F6"/>
    <w:rsid w:val="009250A8"/>
    <w:rsid w:val="00925450"/>
    <w:rsid w:val="00925BE6"/>
    <w:rsid w:val="00925ECC"/>
    <w:rsid w:val="00926162"/>
    <w:rsid w:val="00926260"/>
    <w:rsid w:val="009264EA"/>
    <w:rsid w:val="00926697"/>
    <w:rsid w:val="0092685B"/>
    <w:rsid w:val="00926F61"/>
    <w:rsid w:val="00926FA9"/>
    <w:rsid w:val="0092723B"/>
    <w:rsid w:val="009272AE"/>
    <w:rsid w:val="009272D3"/>
    <w:rsid w:val="0092744A"/>
    <w:rsid w:val="009307EB"/>
    <w:rsid w:val="00930F62"/>
    <w:rsid w:val="00930F8F"/>
    <w:rsid w:val="0093123D"/>
    <w:rsid w:val="009313D0"/>
    <w:rsid w:val="009315F7"/>
    <w:rsid w:val="00931686"/>
    <w:rsid w:val="00931A00"/>
    <w:rsid w:val="00931DD1"/>
    <w:rsid w:val="009320F3"/>
    <w:rsid w:val="009321B9"/>
    <w:rsid w:val="00932442"/>
    <w:rsid w:val="00932DD3"/>
    <w:rsid w:val="00932EFB"/>
    <w:rsid w:val="00933040"/>
    <w:rsid w:val="009330E9"/>
    <w:rsid w:val="0093340C"/>
    <w:rsid w:val="009337C5"/>
    <w:rsid w:val="00933880"/>
    <w:rsid w:val="00933A46"/>
    <w:rsid w:val="00933C90"/>
    <w:rsid w:val="00933DBB"/>
    <w:rsid w:val="00933DE7"/>
    <w:rsid w:val="00933E8C"/>
    <w:rsid w:val="009341D7"/>
    <w:rsid w:val="009347FB"/>
    <w:rsid w:val="00934D97"/>
    <w:rsid w:val="00934EAE"/>
    <w:rsid w:val="009355C9"/>
    <w:rsid w:val="00935776"/>
    <w:rsid w:val="00935D15"/>
    <w:rsid w:val="00935EE5"/>
    <w:rsid w:val="0093602F"/>
    <w:rsid w:val="009361E8"/>
    <w:rsid w:val="00936200"/>
    <w:rsid w:val="00936DA3"/>
    <w:rsid w:val="00936EE6"/>
    <w:rsid w:val="0093706A"/>
    <w:rsid w:val="009370E2"/>
    <w:rsid w:val="0093799D"/>
    <w:rsid w:val="00937DF7"/>
    <w:rsid w:val="009405C6"/>
    <w:rsid w:val="00940B03"/>
    <w:rsid w:val="00940B0A"/>
    <w:rsid w:val="00941004"/>
    <w:rsid w:val="009411D1"/>
    <w:rsid w:val="009411FB"/>
    <w:rsid w:val="00941265"/>
    <w:rsid w:val="009414A9"/>
    <w:rsid w:val="00941B71"/>
    <w:rsid w:val="00941C59"/>
    <w:rsid w:val="00941CAB"/>
    <w:rsid w:val="00941DF9"/>
    <w:rsid w:val="009421AD"/>
    <w:rsid w:val="0094221C"/>
    <w:rsid w:val="0094281B"/>
    <w:rsid w:val="00943443"/>
    <w:rsid w:val="00943630"/>
    <w:rsid w:val="00943C0C"/>
    <w:rsid w:val="0094409C"/>
    <w:rsid w:val="00944159"/>
    <w:rsid w:val="009444B8"/>
    <w:rsid w:val="009446FE"/>
    <w:rsid w:val="009449B2"/>
    <w:rsid w:val="00944A11"/>
    <w:rsid w:val="00944A82"/>
    <w:rsid w:val="00944BA5"/>
    <w:rsid w:val="00944D4C"/>
    <w:rsid w:val="009451D8"/>
    <w:rsid w:val="00945543"/>
    <w:rsid w:val="00945FBA"/>
    <w:rsid w:val="00946081"/>
    <w:rsid w:val="00946C4D"/>
    <w:rsid w:val="00946F2C"/>
    <w:rsid w:val="009473E2"/>
    <w:rsid w:val="009473F8"/>
    <w:rsid w:val="00947857"/>
    <w:rsid w:val="00947911"/>
    <w:rsid w:val="00947C2E"/>
    <w:rsid w:val="00947C3F"/>
    <w:rsid w:val="00947D0C"/>
    <w:rsid w:val="00947E85"/>
    <w:rsid w:val="0095019A"/>
    <w:rsid w:val="00950531"/>
    <w:rsid w:val="00950E61"/>
    <w:rsid w:val="0095100D"/>
    <w:rsid w:val="0095144E"/>
    <w:rsid w:val="009515AB"/>
    <w:rsid w:val="00951AE3"/>
    <w:rsid w:val="00951E67"/>
    <w:rsid w:val="00951ED0"/>
    <w:rsid w:val="00951F59"/>
    <w:rsid w:val="009521F3"/>
    <w:rsid w:val="009522C9"/>
    <w:rsid w:val="00952587"/>
    <w:rsid w:val="009526F3"/>
    <w:rsid w:val="00952844"/>
    <w:rsid w:val="0095285B"/>
    <w:rsid w:val="00953074"/>
    <w:rsid w:val="00953FE9"/>
    <w:rsid w:val="00954181"/>
    <w:rsid w:val="00954417"/>
    <w:rsid w:val="0095481C"/>
    <w:rsid w:val="0095526F"/>
    <w:rsid w:val="0095594B"/>
    <w:rsid w:val="00956556"/>
    <w:rsid w:val="00956763"/>
    <w:rsid w:val="009567E6"/>
    <w:rsid w:val="0095698A"/>
    <w:rsid w:val="00956F17"/>
    <w:rsid w:val="00956FF3"/>
    <w:rsid w:val="00957076"/>
    <w:rsid w:val="00957093"/>
    <w:rsid w:val="00957132"/>
    <w:rsid w:val="0095721D"/>
    <w:rsid w:val="009576FD"/>
    <w:rsid w:val="0095772B"/>
    <w:rsid w:val="009578EB"/>
    <w:rsid w:val="009578FF"/>
    <w:rsid w:val="009579ED"/>
    <w:rsid w:val="00957B4B"/>
    <w:rsid w:val="00957D53"/>
    <w:rsid w:val="00957F01"/>
    <w:rsid w:val="00960446"/>
    <w:rsid w:val="009605BA"/>
    <w:rsid w:val="009605E4"/>
    <w:rsid w:val="0096073C"/>
    <w:rsid w:val="009610ED"/>
    <w:rsid w:val="00961480"/>
    <w:rsid w:val="009616EC"/>
    <w:rsid w:val="009617AC"/>
    <w:rsid w:val="00961EE9"/>
    <w:rsid w:val="0096202F"/>
    <w:rsid w:val="00962313"/>
    <w:rsid w:val="009624A8"/>
    <w:rsid w:val="00962BAA"/>
    <w:rsid w:val="00962DA3"/>
    <w:rsid w:val="00962E3B"/>
    <w:rsid w:val="00963099"/>
    <w:rsid w:val="00963206"/>
    <w:rsid w:val="00963337"/>
    <w:rsid w:val="009633BB"/>
    <w:rsid w:val="009638FD"/>
    <w:rsid w:val="0096394B"/>
    <w:rsid w:val="009639CB"/>
    <w:rsid w:val="00963A36"/>
    <w:rsid w:val="009640E7"/>
    <w:rsid w:val="009643DA"/>
    <w:rsid w:val="0096485F"/>
    <w:rsid w:val="00965392"/>
    <w:rsid w:val="009653F7"/>
    <w:rsid w:val="009658CF"/>
    <w:rsid w:val="009658FF"/>
    <w:rsid w:val="00965914"/>
    <w:rsid w:val="00965C40"/>
    <w:rsid w:val="00966497"/>
    <w:rsid w:val="009669FB"/>
    <w:rsid w:val="00966D9C"/>
    <w:rsid w:val="00966FF0"/>
    <w:rsid w:val="00967354"/>
    <w:rsid w:val="009673A3"/>
    <w:rsid w:val="0096745D"/>
    <w:rsid w:val="00967576"/>
    <w:rsid w:val="00967A54"/>
    <w:rsid w:val="00967B00"/>
    <w:rsid w:val="00967DEE"/>
    <w:rsid w:val="00967E18"/>
    <w:rsid w:val="00967F7B"/>
    <w:rsid w:val="0097077E"/>
    <w:rsid w:val="009707A5"/>
    <w:rsid w:val="00970CF1"/>
    <w:rsid w:val="00970F2B"/>
    <w:rsid w:val="00970FD5"/>
    <w:rsid w:val="00971592"/>
    <w:rsid w:val="00971617"/>
    <w:rsid w:val="0097165F"/>
    <w:rsid w:val="009717F8"/>
    <w:rsid w:val="009718F6"/>
    <w:rsid w:val="00971DDF"/>
    <w:rsid w:val="0097225C"/>
    <w:rsid w:val="00972534"/>
    <w:rsid w:val="00972DE3"/>
    <w:rsid w:val="009730B1"/>
    <w:rsid w:val="009731D6"/>
    <w:rsid w:val="00973432"/>
    <w:rsid w:val="00973447"/>
    <w:rsid w:val="00973784"/>
    <w:rsid w:val="00973A33"/>
    <w:rsid w:val="00973E6D"/>
    <w:rsid w:val="00973FC6"/>
    <w:rsid w:val="00974746"/>
    <w:rsid w:val="00974A72"/>
    <w:rsid w:val="00974A86"/>
    <w:rsid w:val="00975119"/>
    <w:rsid w:val="00975489"/>
    <w:rsid w:val="0097570C"/>
    <w:rsid w:val="009763ED"/>
    <w:rsid w:val="009764AF"/>
    <w:rsid w:val="00976651"/>
    <w:rsid w:val="00976A9A"/>
    <w:rsid w:val="00976C3D"/>
    <w:rsid w:val="00976DFF"/>
    <w:rsid w:val="00976F04"/>
    <w:rsid w:val="00976F46"/>
    <w:rsid w:val="009777F4"/>
    <w:rsid w:val="0097796B"/>
    <w:rsid w:val="00977AD8"/>
    <w:rsid w:val="00977AF0"/>
    <w:rsid w:val="00977BBE"/>
    <w:rsid w:val="0098016F"/>
    <w:rsid w:val="00980A10"/>
    <w:rsid w:val="00981130"/>
    <w:rsid w:val="00981528"/>
    <w:rsid w:val="009817BD"/>
    <w:rsid w:val="00981AF9"/>
    <w:rsid w:val="00981D14"/>
    <w:rsid w:val="00981F9D"/>
    <w:rsid w:val="00981FC2"/>
    <w:rsid w:val="0098218B"/>
    <w:rsid w:val="0098229C"/>
    <w:rsid w:val="009827A6"/>
    <w:rsid w:val="0098289D"/>
    <w:rsid w:val="00982AA4"/>
    <w:rsid w:val="009832AD"/>
    <w:rsid w:val="0098345A"/>
    <w:rsid w:val="009835E0"/>
    <w:rsid w:val="0098377F"/>
    <w:rsid w:val="009838D0"/>
    <w:rsid w:val="00983A93"/>
    <w:rsid w:val="00983D46"/>
    <w:rsid w:val="00983DCA"/>
    <w:rsid w:val="00983E43"/>
    <w:rsid w:val="00983E76"/>
    <w:rsid w:val="0098403B"/>
    <w:rsid w:val="00984C12"/>
    <w:rsid w:val="009853AF"/>
    <w:rsid w:val="00985689"/>
    <w:rsid w:val="009856AA"/>
    <w:rsid w:val="00985C31"/>
    <w:rsid w:val="00985C73"/>
    <w:rsid w:val="00985EF7"/>
    <w:rsid w:val="00986093"/>
    <w:rsid w:val="00986146"/>
    <w:rsid w:val="00986675"/>
    <w:rsid w:val="00986A1D"/>
    <w:rsid w:val="00986AE2"/>
    <w:rsid w:val="00986CF9"/>
    <w:rsid w:val="00986D69"/>
    <w:rsid w:val="00986D7A"/>
    <w:rsid w:val="00986E1D"/>
    <w:rsid w:val="00986E87"/>
    <w:rsid w:val="00986FC8"/>
    <w:rsid w:val="0098727B"/>
    <w:rsid w:val="00987336"/>
    <w:rsid w:val="00987416"/>
    <w:rsid w:val="0098789A"/>
    <w:rsid w:val="009909F7"/>
    <w:rsid w:val="00990C0E"/>
    <w:rsid w:val="00990CD4"/>
    <w:rsid w:val="00990D75"/>
    <w:rsid w:val="00990F26"/>
    <w:rsid w:val="00991093"/>
    <w:rsid w:val="00991133"/>
    <w:rsid w:val="009914BE"/>
    <w:rsid w:val="0099163B"/>
    <w:rsid w:val="009916F0"/>
    <w:rsid w:val="00991C79"/>
    <w:rsid w:val="00991DD5"/>
    <w:rsid w:val="0099221D"/>
    <w:rsid w:val="009922DA"/>
    <w:rsid w:val="00992343"/>
    <w:rsid w:val="00992970"/>
    <w:rsid w:val="00992B6D"/>
    <w:rsid w:val="00992EA5"/>
    <w:rsid w:val="00992EFF"/>
    <w:rsid w:val="00992FFE"/>
    <w:rsid w:val="0099382B"/>
    <w:rsid w:val="0099383D"/>
    <w:rsid w:val="009938B1"/>
    <w:rsid w:val="00993967"/>
    <w:rsid w:val="0099399A"/>
    <w:rsid w:val="00993A17"/>
    <w:rsid w:val="00993F0F"/>
    <w:rsid w:val="009947A8"/>
    <w:rsid w:val="0099499F"/>
    <w:rsid w:val="00994A23"/>
    <w:rsid w:val="00994D00"/>
    <w:rsid w:val="00994E69"/>
    <w:rsid w:val="00995CBB"/>
    <w:rsid w:val="00995D5B"/>
    <w:rsid w:val="009960F4"/>
    <w:rsid w:val="00996191"/>
    <w:rsid w:val="00996258"/>
    <w:rsid w:val="0099627E"/>
    <w:rsid w:val="00996306"/>
    <w:rsid w:val="009963FD"/>
    <w:rsid w:val="00996455"/>
    <w:rsid w:val="009966BA"/>
    <w:rsid w:val="00996744"/>
    <w:rsid w:val="00996769"/>
    <w:rsid w:val="00997373"/>
    <w:rsid w:val="0099739F"/>
    <w:rsid w:val="009977DA"/>
    <w:rsid w:val="009978CD"/>
    <w:rsid w:val="00997B3E"/>
    <w:rsid w:val="00997CED"/>
    <w:rsid w:val="00997CF4"/>
    <w:rsid w:val="009A0049"/>
    <w:rsid w:val="009A03A8"/>
    <w:rsid w:val="009A03D6"/>
    <w:rsid w:val="009A0954"/>
    <w:rsid w:val="009A0B23"/>
    <w:rsid w:val="009A1169"/>
    <w:rsid w:val="009A1302"/>
    <w:rsid w:val="009A164C"/>
    <w:rsid w:val="009A1AAC"/>
    <w:rsid w:val="009A1ADE"/>
    <w:rsid w:val="009A1DDD"/>
    <w:rsid w:val="009A1E0F"/>
    <w:rsid w:val="009A29D7"/>
    <w:rsid w:val="009A2A71"/>
    <w:rsid w:val="009A2AD6"/>
    <w:rsid w:val="009A2BB6"/>
    <w:rsid w:val="009A2CB8"/>
    <w:rsid w:val="009A323C"/>
    <w:rsid w:val="009A3789"/>
    <w:rsid w:val="009A3EAE"/>
    <w:rsid w:val="009A45A2"/>
    <w:rsid w:val="009A4729"/>
    <w:rsid w:val="009A538A"/>
    <w:rsid w:val="009A55E5"/>
    <w:rsid w:val="009A5665"/>
    <w:rsid w:val="009A5D9E"/>
    <w:rsid w:val="009A609E"/>
    <w:rsid w:val="009A64E7"/>
    <w:rsid w:val="009A65CC"/>
    <w:rsid w:val="009A6919"/>
    <w:rsid w:val="009A6AC7"/>
    <w:rsid w:val="009A7046"/>
    <w:rsid w:val="009A735F"/>
    <w:rsid w:val="009A744F"/>
    <w:rsid w:val="009A7613"/>
    <w:rsid w:val="009B0408"/>
    <w:rsid w:val="009B0843"/>
    <w:rsid w:val="009B0AF2"/>
    <w:rsid w:val="009B0DEE"/>
    <w:rsid w:val="009B1335"/>
    <w:rsid w:val="009B14BC"/>
    <w:rsid w:val="009B176D"/>
    <w:rsid w:val="009B1C21"/>
    <w:rsid w:val="009B1D31"/>
    <w:rsid w:val="009B1E47"/>
    <w:rsid w:val="009B1FAB"/>
    <w:rsid w:val="009B27FD"/>
    <w:rsid w:val="009B2914"/>
    <w:rsid w:val="009B2CED"/>
    <w:rsid w:val="009B2E92"/>
    <w:rsid w:val="009B304F"/>
    <w:rsid w:val="009B3054"/>
    <w:rsid w:val="009B3181"/>
    <w:rsid w:val="009B326D"/>
    <w:rsid w:val="009B334B"/>
    <w:rsid w:val="009B335D"/>
    <w:rsid w:val="009B3840"/>
    <w:rsid w:val="009B38C0"/>
    <w:rsid w:val="009B38C8"/>
    <w:rsid w:val="009B3B36"/>
    <w:rsid w:val="009B3C90"/>
    <w:rsid w:val="009B3E48"/>
    <w:rsid w:val="009B4036"/>
    <w:rsid w:val="009B4600"/>
    <w:rsid w:val="009B47EE"/>
    <w:rsid w:val="009B4936"/>
    <w:rsid w:val="009B4D01"/>
    <w:rsid w:val="009B4E26"/>
    <w:rsid w:val="009B4E78"/>
    <w:rsid w:val="009B5284"/>
    <w:rsid w:val="009B5353"/>
    <w:rsid w:val="009B5664"/>
    <w:rsid w:val="009B60CB"/>
    <w:rsid w:val="009B653A"/>
    <w:rsid w:val="009B675B"/>
    <w:rsid w:val="009B7159"/>
    <w:rsid w:val="009B7241"/>
    <w:rsid w:val="009B72B2"/>
    <w:rsid w:val="009B7368"/>
    <w:rsid w:val="009B73D7"/>
    <w:rsid w:val="009B7446"/>
    <w:rsid w:val="009B76E3"/>
    <w:rsid w:val="009B76F9"/>
    <w:rsid w:val="009B7907"/>
    <w:rsid w:val="009B7A72"/>
    <w:rsid w:val="009B7BB8"/>
    <w:rsid w:val="009C01AC"/>
    <w:rsid w:val="009C0225"/>
    <w:rsid w:val="009C025D"/>
    <w:rsid w:val="009C0463"/>
    <w:rsid w:val="009C0B13"/>
    <w:rsid w:val="009C0E9B"/>
    <w:rsid w:val="009C1212"/>
    <w:rsid w:val="009C126A"/>
    <w:rsid w:val="009C1473"/>
    <w:rsid w:val="009C1753"/>
    <w:rsid w:val="009C1D4C"/>
    <w:rsid w:val="009C216B"/>
    <w:rsid w:val="009C26D0"/>
    <w:rsid w:val="009C2DD2"/>
    <w:rsid w:val="009C2E9F"/>
    <w:rsid w:val="009C3131"/>
    <w:rsid w:val="009C33DE"/>
    <w:rsid w:val="009C3409"/>
    <w:rsid w:val="009C395E"/>
    <w:rsid w:val="009C3982"/>
    <w:rsid w:val="009C3FFA"/>
    <w:rsid w:val="009C41F1"/>
    <w:rsid w:val="009C4328"/>
    <w:rsid w:val="009C441F"/>
    <w:rsid w:val="009C4453"/>
    <w:rsid w:val="009C452E"/>
    <w:rsid w:val="009C457E"/>
    <w:rsid w:val="009C48D4"/>
    <w:rsid w:val="009C4A07"/>
    <w:rsid w:val="009C4B8E"/>
    <w:rsid w:val="009C51D5"/>
    <w:rsid w:val="009C543C"/>
    <w:rsid w:val="009C599A"/>
    <w:rsid w:val="009C5EFF"/>
    <w:rsid w:val="009C60B5"/>
    <w:rsid w:val="009C6229"/>
    <w:rsid w:val="009C63D4"/>
    <w:rsid w:val="009C650E"/>
    <w:rsid w:val="009C6BBA"/>
    <w:rsid w:val="009C6F67"/>
    <w:rsid w:val="009C70DB"/>
    <w:rsid w:val="009C7468"/>
    <w:rsid w:val="009C774A"/>
    <w:rsid w:val="009C77FA"/>
    <w:rsid w:val="009C7D60"/>
    <w:rsid w:val="009D0144"/>
    <w:rsid w:val="009D11CE"/>
    <w:rsid w:val="009D162E"/>
    <w:rsid w:val="009D16B6"/>
    <w:rsid w:val="009D174D"/>
    <w:rsid w:val="009D18CB"/>
    <w:rsid w:val="009D19BC"/>
    <w:rsid w:val="009D2348"/>
    <w:rsid w:val="009D26B3"/>
    <w:rsid w:val="009D2A52"/>
    <w:rsid w:val="009D2C6B"/>
    <w:rsid w:val="009D2EA8"/>
    <w:rsid w:val="009D2F0C"/>
    <w:rsid w:val="009D3306"/>
    <w:rsid w:val="009D33F1"/>
    <w:rsid w:val="009D3578"/>
    <w:rsid w:val="009D3A5F"/>
    <w:rsid w:val="009D3DE8"/>
    <w:rsid w:val="009D4014"/>
    <w:rsid w:val="009D4845"/>
    <w:rsid w:val="009D4D61"/>
    <w:rsid w:val="009D4F88"/>
    <w:rsid w:val="009D5193"/>
    <w:rsid w:val="009D558B"/>
    <w:rsid w:val="009D5630"/>
    <w:rsid w:val="009D567A"/>
    <w:rsid w:val="009D59FA"/>
    <w:rsid w:val="009D5C32"/>
    <w:rsid w:val="009D5C56"/>
    <w:rsid w:val="009D60F1"/>
    <w:rsid w:val="009D6113"/>
    <w:rsid w:val="009D621A"/>
    <w:rsid w:val="009D62D4"/>
    <w:rsid w:val="009D6472"/>
    <w:rsid w:val="009D669F"/>
    <w:rsid w:val="009D6A26"/>
    <w:rsid w:val="009D6AEB"/>
    <w:rsid w:val="009D6C93"/>
    <w:rsid w:val="009D6CE0"/>
    <w:rsid w:val="009D730B"/>
    <w:rsid w:val="009D735F"/>
    <w:rsid w:val="009D749E"/>
    <w:rsid w:val="009D79F4"/>
    <w:rsid w:val="009D7D16"/>
    <w:rsid w:val="009D7D19"/>
    <w:rsid w:val="009D7D4E"/>
    <w:rsid w:val="009D7EF4"/>
    <w:rsid w:val="009E006A"/>
    <w:rsid w:val="009E05D0"/>
    <w:rsid w:val="009E0646"/>
    <w:rsid w:val="009E08F3"/>
    <w:rsid w:val="009E0C88"/>
    <w:rsid w:val="009E0D19"/>
    <w:rsid w:val="009E0FC0"/>
    <w:rsid w:val="009E126D"/>
    <w:rsid w:val="009E14BC"/>
    <w:rsid w:val="009E1A93"/>
    <w:rsid w:val="009E1EBA"/>
    <w:rsid w:val="009E1FC5"/>
    <w:rsid w:val="009E2146"/>
    <w:rsid w:val="009E285E"/>
    <w:rsid w:val="009E28BE"/>
    <w:rsid w:val="009E2B3F"/>
    <w:rsid w:val="009E2C8E"/>
    <w:rsid w:val="009E2E76"/>
    <w:rsid w:val="009E3225"/>
    <w:rsid w:val="009E33D7"/>
    <w:rsid w:val="009E3527"/>
    <w:rsid w:val="009E37AF"/>
    <w:rsid w:val="009E3A12"/>
    <w:rsid w:val="009E3B0E"/>
    <w:rsid w:val="009E3CD1"/>
    <w:rsid w:val="009E3D08"/>
    <w:rsid w:val="009E43BA"/>
    <w:rsid w:val="009E4432"/>
    <w:rsid w:val="009E443C"/>
    <w:rsid w:val="009E4557"/>
    <w:rsid w:val="009E54FA"/>
    <w:rsid w:val="009E5520"/>
    <w:rsid w:val="009E572E"/>
    <w:rsid w:val="009E5850"/>
    <w:rsid w:val="009E5A3F"/>
    <w:rsid w:val="009E5AB4"/>
    <w:rsid w:val="009E5AF5"/>
    <w:rsid w:val="009E5EB5"/>
    <w:rsid w:val="009E65A5"/>
    <w:rsid w:val="009E6622"/>
    <w:rsid w:val="009E6672"/>
    <w:rsid w:val="009E6C9E"/>
    <w:rsid w:val="009E6FD1"/>
    <w:rsid w:val="009E74F0"/>
    <w:rsid w:val="009E762B"/>
    <w:rsid w:val="009E7A71"/>
    <w:rsid w:val="009E7D0A"/>
    <w:rsid w:val="009E7F23"/>
    <w:rsid w:val="009F0388"/>
    <w:rsid w:val="009F072F"/>
    <w:rsid w:val="009F0768"/>
    <w:rsid w:val="009F089F"/>
    <w:rsid w:val="009F09E0"/>
    <w:rsid w:val="009F0BC1"/>
    <w:rsid w:val="009F102A"/>
    <w:rsid w:val="009F12B6"/>
    <w:rsid w:val="009F1341"/>
    <w:rsid w:val="009F151C"/>
    <w:rsid w:val="009F1A99"/>
    <w:rsid w:val="009F1B5B"/>
    <w:rsid w:val="009F1E07"/>
    <w:rsid w:val="009F23AF"/>
    <w:rsid w:val="009F250C"/>
    <w:rsid w:val="009F2A19"/>
    <w:rsid w:val="009F2F5B"/>
    <w:rsid w:val="009F2F83"/>
    <w:rsid w:val="009F3001"/>
    <w:rsid w:val="009F32FE"/>
    <w:rsid w:val="009F37C1"/>
    <w:rsid w:val="009F3B30"/>
    <w:rsid w:val="009F457D"/>
    <w:rsid w:val="009F4A44"/>
    <w:rsid w:val="009F4C47"/>
    <w:rsid w:val="009F4CE9"/>
    <w:rsid w:val="009F5069"/>
    <w:rsid w:val="009F5117"/>
    <w:rsid w:val="009F514E"/>
    <w:rsid w:val="009F5455"/>
    <w:rsid w:val="009F5763"/>
    <w:rsid w:val="009F5A76"/>
    <w:rsid w:val="009F5C48"/>
    <w:rsid w:val="009F6053"/>
    <w:rsid w:val="009F606D"/>
    <w:rsid w:val="009F66F9"/>
    <w:rsid w:val="009F74A1"/>
    <w:rsid w:val="009F74D1"/>
    <w:rsid w:val="009F76E6"/>
    <w:rsid w:val="009F7867"/>
    <w:rsid w:val="009F7A09"/>
    <w:rsid w:val="009F7D66"/>
    <w:rsid w:val="009F7F7E"/>
    <w:rsid w:val="00A00921"/>
    <w:rsid w:val="00A00BD2"/>
    <w:rsid w:val="00A00E56"/>
    <w:rsid w:val="00A01167"/>
    <w:rsid w:val="00A0121F"/>
    <w:rsid w:val="00A0168E"/>
    <w:rsid w:val="00A01747"/>
    <w:rsid w:val="00A01874"/>
    <w:rsid w:val="00A01C10"/>
    <w:rsid w:val="00A027F3"/>
    <w:rsid w:val="00A02BCB"/>
    <w:rsid w:val="00A03801"/>
    <w:rsid w:val="00A038F8"/>
    <w:rsid w:val="00A03978"/>
    <w:rsid w:val="00A03AB1"/>
    <w:rsid w:val="00A03C64"/>
    <w:rsid w:val="00A04512"/>
    <w:rsid w:val="00A045F3"/>
    <w:rsid w:val="00A04D7E"/>
    <w:rsid w:val="00A04DE0"/>
    <w:rsid w:val="00A051D9"/>
    <w:rsid w:val="00A05307"/>
    <w:rsid w:val="00A05806"/>
    <w:rsid w:val="00A058BF"/>
    <w:rsid w:val="00A05ACF"/>
    <w:rsid w:val="00A05CD7"/>
    <w:rsid w:val="00A05DF3"/>
    <w:rsid w:val="00A061FC"/>
    <w:rsid w:val="00A06FC5"/>
    <w:rsid w:val="00A06FCD"/>
    <w:rsid w:val="00A0705E"/>
    <w:rsid w:val="00A07E08"/>
    <w:rsid w:val="00A07F24"/>
    <w:rsid w:val="00A1050D"/>
    <w:rsid w:val="00A10558"/>
    <w:rsid w:val="00A105AC"/>
    <w:rsid w:val="00A10B95"/>
    <w:rsid w:val="00A10C4E"/>
    <w:rsid w:val="00A10D79"/>
    <w:rsid w:val="00A10FC0"/>
    <w:rsid w:val="00A11346"/>
    <w:rsid w:val="00A114BC"/>
    <w:rsid w:val="00A11535"/>
    <w:rsid w:val="00A115F9"/>
    <w:rsid w:val="00A119DE"/>
    <w:rsid w:val="00A11C86"/>
    <w:rsid w:val="00A11E56"/>
    <w:rsid w:val="00A11FFC"/>
    <w:rsid w:val="00A12551"/>
    <w:rsid w:val="00A1258F"/>
    <w:rsid w:val="00A12653"/>
    <w:rsid w:val="00A1266F"/>
    <w:rsid w:val="00A12798"/>
    <w:rsid w:val="00A12B23"/>
    <w:rsid w:val="00A12F48"/>
    <w:rsid w:val="00A130DA"/>
    <w:rsid w:val="00A13263"/>
    <w:rsid w:val="00A13282"/>
    <w:rsid w:val="00A1378D"/>
    <w:rsid w:val="00A137C3"/>
    <w:rsid w:val="00A13A09"/>
    <w:rsid w:val="00A13BB9"/>
    <w:rsid w:val="00A14785"/>
    <w:rsid w:val="00A1498F"/>
    <w:rsid w:val="00A149FA"/>
    <w:rsid w:val="00A14BAC"/>
    <w:rsid w:val="00A14C0E"/>
    <w:rsid w:val="00A150EA"/>
    <w:rsid w:val="00A151D8"/>
    <w:rsid w:val="00A153BE"/>
    <w:rsid w:val="00A15538"/>
    <w:rsid w:val="00A15684"/>
    <w:rsid w:val="00A15771"/>
    <w:rsid w:val="00A1580A"/>
    <w:rsid w:val="00A15BE2"/>
    <w:rsid w:val="00A15DEE"/>
    <w:rsid w:val="00A161DA"/>
    <w:rsid w:val="00A16462"/>
    <w:rsid w:val="00A1678B"/>
    <w:rsid w:val="00A167B5"/>
    <w:rsid w:val="00A16DBE"/>
    <w:rsid w:val="00A172DF"/>
    <w:rsid w:val="00A172EA"/>
    <w:rsid w:val="00A17662"/>
    <w:rsid w:val="00A179E0"/>
    <w:rsid w:val="00A17C4F"/>
    <w:rsid w:val="00A20113"/>
    <w:rsid w:val="00A20459"/>
    <w:rsid w:val="00A20653"/>
    <w:rsid w:val="00A206D3"/>
    <w:rsid w:val="00A207E7"/>
    <w:rsid w:val="00A20A39"/>
    <w:rsid w:val="00A20E8A"/>
    <w:rsid w:val="00A212E8"/>
    <w:rsid w:val="00A220FA"/>
    <w:rsid w:val="00A223AD"/>
    <w:rsid w:val="00A234A9"/>
    <w:rsid w:val="00A23651"/>
    <w:rsid w:val="00A23814"/>
    <w:rsid w:val="00A238BD"/>
    <w:rsid w:val="00A2399B"/>
    <w:rsid w:val="00A23B65"/>
    <w:rsid w:val="00A23D83"/>
    <w:rsid w:val="00A23DC8"/>
    <w:rsid w:val="00A23DCA"/>
    <w:rsid w:val="00A23E9D"/>
    <w:rsid w:val="00A240D8"/>
    <w:rsid w:val="00A243E4"/>
    <w:rsid w:val="00A2459D"/>
    <w:rsid w:val="00A247AA"/>
    <w:rsid w:val="00A24858"/>
    <w:rsid w:val="00A24910"/>
    <w:rsid w:val="00A24C72"/>
    <w:rsid w:val="00A24D49"/>
    <w:rsid w:val="00A24E23"/>
    <w:rsid w:val="00A24EC7"/>
    <w:rsid w:val="00A2534D"/>
    <w:rsid w:val="00A25380"/>
    <w:rsid w:val="00A25602"/>
    <w:rsid w:val="00A25666"/>
    <w:rsid w:val="00A2566C"/>
    <w:rsid w:val="00A25CAB"/>
    <w:rsid w:val="00A25F05"/>
    <w:rsid w:val="00A260D2"/>
    <w:rsid w:val="00A2636D"/>
    <w:rsid w:val="00A26439"/>
    <w:rsid w:val="00A26491"/>
    <w:rsid w:val="00A264C4"/>
    <w:rsid w:val="00A26F58"/>
    <w:rsid w:val="00A27774"/>
    <w:rsid w:val="00A27D4A"/>
    <w:rsid w:val="00A27F4A"/>
    <w:rsid w:val="00A30562"/>
    <w:rsid w:val="00A305B7"/>
    <w:rsid w:val="00A30B2D"/>
    <w:rsid w:val="00A30BA0"/>
    <w:rsid w:val="00A30BBF"/>
    <w:rsid w:val="00A311AE"/>
    <w:rsid w:val="00A312A6"/>
    <w:rsid w:val="00A3130E"/>
    <w:rsid w:val="00A315DE"/>
    <w:rsid w:val="00A3193B"/>
    <w:rsid w:val="00A3197E"/>
    <w:rsid w:val="00A323DC"/>
    <w:rsid w:val="00A324CF"/>
    <w:rsid w:val="00A326F3"/>
    <w:rsid w:val="00A32E8B"/>
    <w:rsid w:val="00A32ED6"/>
    <w:rsid w:val="00A332CE"/>
    <w:rsid w:val="00A33776"/>
    <w:rsid w:val="00A3380C"/>
    <w:rsid w:val="00A33D2B"/>
    <w:rsid w:val="00A344A5"/>
    <w:rsid w:val="00A346C3"/>
    <w:rsid w:val="00A34A01"/>
    <w:rsid w:val="00A34C3C"/>
    <w:rsid w:val="00A34C69"/>
    <w:rsid w:val="00A34D4A"/>
    <w:rsid w:val="00A35147"/>
    <w:rsid w:val="00A356BD"/>
    <w:rsid w:val="00A35D4A"/>
    <w:rsid w:val="00A35DED"/>
    <w:rsid w:val="00A35F8F"/>
    <w:rsid w:val="00A36155"/>
    <w:rsid w:val="00A36227"/>
    <w:rsid w:val="00A3629E"/>
    <w:rsid w:val="00A365AD"/>
    <w:rsid w:val="00A369D3"/>
    <w:rsid w:val="00A3710A"/>
    <w:rsid w:val="00A37A3A"/>
    <w:rsid w:val="00A37C1B"/>
    <w:rsid w:val="00A37CBA"/>
    <w:rsid w:val="00A37E09"/>
    <w:rsid w:val="00A40048"/>
    <w:rsid w:val="00A401F9"/>
    <w:rsid w:val="00A409ED"/>
    <w:rsid w:val="00A40D8E"/>
    <w:rsid w:val="00A4118D"/>
    <w:rsid w:val="00A411C7"/>
    <w:rsid w:val="00A41A50"/>
    <w:rsid w:val="00A41B60"/>
    <w:rsid w:val="00A41D35"/>
    <w:rsid w:val="00A41DED"/>
    <w:rsid w:val="00A41E33"/>
    <w:rsid w:val="00A41E3A"/>
    <w:rsid w:val="00A41F3C"/>
    <w:rsid w:val="00A4245A"/>
    <w:rsid w:val="00A425E2"/>
    <w:rsid w:val="00A429D6"/>
    <w:rsid w:val="00A42A85"/>
    <w:rsid w:val="00A42D07"/>
    <w:rsid w:val="00A42D85"/>
    <w:rsid w:val="00A43319"/>
    <w:rsid w:val="00A4346C"/>
    <w:rsid w:val="00A4371A"/>
    <w:rsid w:val="00A43C55"/>
    <w:rsid w:val="00A4435F"/>
    <w:rsid w:val="00A44813"/>
    <w:rsid w:val="00A44B43"/>
    <w:rsid w:val="00A44B89"/>
    <w:rsid w:val="00A44D4B"/>
    <w:rsid w:val="00A4503E"/>
    <w:rsid w:val="00A450C0"/>
    <w:rsid w:val="00A45163"/>
    <w:rsid w:val="00A452E5"/>
    <w:rsid w:val="00A4539A"/>
    <w:rsid w:val="00A453DD"/>
    <w:rsid w:val="00A45420"/>
    <w:rsid w:val="00A45434"/>
    <w:rsid w:val="00A45468"/>
    <w:rsid w:val="00A458F6"/>
    <w:rsid w:val="00A45D21"/>
    <w:rsid w:val="00A45D49"/>
    <w:rsid w:val="00A471A8"/>
    <w:rsid w:val="00A4791B"/>
    <w:rsid w:val="00A4793C"/>
    <w:rsid w:val="00A47C1D"/>
    <w:rsid w:val="00A50245"/>
    <w:rsid w:val="00A50A48"/>
    <w:rsid w:val="00A50E61"/>
    <w:rsid w:val="00A5102C"/>
    <w:rsid w:val="00A51180"/>
    <w:rsid w:val="00A51242"/>
    <w:rsid w:val="00A5131F"/>
    <w:rsid w:val="00A51522"/>
    <w:rsid w:val="00A51573"/>
    <w:rsid w:val="00A515C9"/>
    <w:rsid w:val="00A518C6"/>
    <w:rsid w:val="00A51900"/>
    <w:rsid w:val="00A519DF"/>
    <w:rsid w:val="00A51A5E"/>
    <w:rsid w:val="00A521BE"/>
    <w:rsid w:val="00A52635"/>
    <w:rsid w:val="00A52895"/>
    <w:rsid w:val="00A528FF"/>
    <w:rsid w:val="00A52987"/>
    <w:rsid w:val="00A52D7D"/>
    <w:rsid w:val="00A52F43"/>
    <w:rsid w:val="00A5398A"/>
    <w:rsid w:val="00A539A5"/>
    <w:rsid w:val="00A539D4"/>
    <w:rsid w:val="00A53D4C"/>
    <w:rsid w:val="00A53DA0"/>
    <w:rsid w:val="00A5404D"/>
    <w:rsid w:val="00A54137"/>
    <w:rsid w:val="00A5421A"/>
    <w:rsid w:val="00A54367"/>
    <w:rsid w:val="00A54A42"/>
    <w:rsid w:val="00A54B06"/>
    <w:rsid w:val="00A54D39"/>
    <w:rsid w:val="00A55074"/>
    <w:rsid w:val="00A554E5"/>
    <w:rsid w:val="00A555A7"/>
    <w:rsid w:val="00A55708"/>
    <w:rsid w:val="00A55728"/>
    <w:rsid w:val="00A55EEB"/>
    <w:rsid w:val="00A56306"/>
    <w:rsid w:val="00A566AB"/>
    <w:rsid w:val="00A56C50"/>
    <w:rsid w:val="00A5765D"/>
    <w:rsid w:val="00A579BD"/>
    <w:rsid w:val="00A600B3"/>
    <w:rsid w:val="00A606DC"/>
    <w:rsid w:val="00A607CB"/>
    <w:rsid w:val="00A60A3B"/>
    <w:rsid w:val="00A60B28"/>
    <w:rsid w:val="00A60C6C"/>
    <w:rsid w:val="00A61058"/>
    <w:rsid w:val="00A6119F"/>
    <w:rsid w:val="00A6122A"/>
    <w:rsid w:val="00A6139D"/>
    <w:rsid w:val="00A616B0"/>
    <w:rsid w:val="00A61BBB"/>
    <w:rsid w:val="00A61F45"/>
    <w:rsid w:val="00A6203C"/>
    <w:rsid w:val="00A62117"/>
    <w:rsid w:val="00A623C7"/>
    <w:rsid w:val="00A62609"/>
    <w:rsid w:val="00A62691"/>
    <w:rsid w:val="00A62B6E"/>
    <w:rsid w:val="00A62BE3"/>
    <w:rsid w:val="00A62D4A"/>
    <w:rsid w:val="00A6351F"/>
    <w:rsid w:val="00A63646"/>
    <w:rsid w:val="00A6373C"/>
    <w:rsid w:val="00A63809"/>
    <w:rsid w:val="00A63EEA"/>
    <w:rsid w:val="00A64278"/>
    <w:rsid w:val="00A645E5"/>
    <w:rsid w:val="00A64A6E"/>
    <w:rsid w:val="00A64CF0"/>
    <w:rsid w:val="00A64DA4"/>
    <w:rsid w:val="00A6519F"/>
    <w:rsid w:val="00A65315"/>
    <w:rsid w:val="00A6539C"/>
    <w:rsid w:val="00A65438"/>
    <w:rsid w:val="00A65741"/>
    <w:rsid w:val="00A65846"/>
    <w:rsid w:val="00A65931"/>
    <w:rsid w:val="00A65A70"/>
    <w:rsid w:val="00A65C0B"/>
    <w:rsid w:val="00A65E0B"/>
    <w:rsid w:val="00A66599"/>
    <w:rsid w:val="00A6665F"/>
    <w:rsid w:val="00A6681D"/>
    <w:rsid w:val="00A66F36"/>
    <w:rsid w:val="00A672CD"/>
    <w:rsid w:val="00A675FB"/>
    <w:rsid w:val="00A676D9"/>
    <w:rsid w:val="00A67AF7"/>
    <w:rsid w:val="00A67E3F"/>
    <w:rsid w:val="00A67EFC"/>
    <w:rsid w:val="00A700B9"/>
    <w:rsid w:val="00A7031E"/>
    <w:rsid w:val="00A705FE"/>
    <w:rsid w:val="00A70D3F"/>
    <w:rsid w:val="00A70E26"/>
    <w:rsid w:val="00A71140"/>
    <w:rsid w:val="00A71152"/>
    <w:rsid w:val="00A71228"/>
    <w:rsid w:val="00A71874"/>
    <w:rsid w:val="00A71CA4"/>
    <w:rsid w:val="00A71F4F"/>
    <w:rsid w:val="00A71F90"/>
    <w:rsid w:val="00A71FD7"/>
    <w:rsid w:val="00A7205E"/>
    <w:rsid w:val="00A72361"/>
    <w:rsid w:val="00A7287B"/>
    <w:rsid w:val="00A72962"/>
    <w:rsid w:val="00A72999"/>
    <w:rsid w:val="00A72AF0"/>
    <w:rsid w:val="00A72EDB"/>
    <w:rsid w:val="00A73195"/>
    <w:rsid w:val="00A735E4"/>
    <w:rsid w:val="00A73609"/>
    <w:rsid w:val="00A73803"/>
    <w:rsid w:val="00A739A7"/>
    <w:rsid w:val="00A742E0"/>
    <w:rsid w:val="00A74692"/>
    <w:rsid w:val="00A7469E"/>
    <w:rsid w:val="00A7485A"/>
    <w:rsid w:val="00A74A93"/>
    <w:rsid w:val="00A74CBA"/>
    <w:rsid w:val="00A752F7"/>
    <w:rsid w:val="00A75309"/>
    <w:rsid w:val="00A7546F"/>
    <w:rsid w:val="00A75A52"/>
    <w:rsid w:val="00A75A9E"/>
    <w:rsid w:val="00A75D69"/>
    <w:rsid w:val="00A760DF"/>
    <w:rsid w:val="00A7618B"/>
    <w:rsid w:val="00A7640B"/>
    <w:rsid w:val="00A765EB"/>
    <w:rsid w:val="00A766B5"/>
    <w:rsid w:val="00A766C9"/>
    <w:rsid w:val="00A767E0"/>
    <w:rsid w:val="00A7690A"/>
    <w:rsid w:val="00A76DA8"/>
    <w:rsid w:val="00A76EEF"/>
    <w:rsid w:val="00A773A8"/>
    <w:rsid w:val="00A7778B"/>
    <w:rsid w:val="00A777DE"/>
    <w:rsid w:val="00A779CC"/>
    <w:rsid w:val="00A77BEF"/>
    <w:rsid w:val="00A77D34"/>
    <w:rsid w:val="00A8005A"/>
    <w:rsid w:val="00A8023A"/>
    <w:rsid w:val="00A803BC"/>
    <w:rsid w:val="00A8048C"/>
    <w:rsid w:val="00A8054E"/>
    <w:rsid w:val="00A8075B"/>
    <w:rsid w:val="00A8091E"/>
    <w:rsid w:val="00A80969"/>
    <w:rsid w:val="00A8168F"/>
    <w:rsid w:val="00A81CA9"/>
    <w:rsid w:val="00A81D91"/>
    <w:rsid w:val="00A81F29"/>
    <w:rsid w:val="00A82614"/>
    <w:rsid w:val="00A836EC"/>
    <w:rsid w:val="00A83BD0"/>
    <w:rsid w:val="00A83D81"/>
    <w:rsid w:val="00A84253"/>
    <w:rsid w:val="00A8428E"/>
    <w:rsid w:val="00A84420"/>
    <w:rsid w:val="00A84673"/>
    <w:rsid w:val="00A84873"/>
    <w:rsid w:val="00A852D4"/>
    <w:rsid w:val="00A85379"/>
    <w:rsid w:val="00A85386"/>
    <w:rsid w:val="00A85495"/>
    <w:rsid w:val="00A85798"/>
    <w:rsid w:val="00A858C3"/>
    <w:rsid w:val="00A85A41"/>
    <w:rsid w:val="00A85F08"/>
    <w:rsid w:val="00A8609D"/>
    <w:rsid w:val="00A8617E"/>
    <w:rsid w:val="00A862A0"/>
    <w:rsid w:val="00A86578"/>
    <w:rsid w:val="00A866E2"/>
    <w:rsid w:val="00A8692A"/>
    <w:rsid w:val="00A86EA7"/>
    <w:rsid w:val="00A8742B"/>
    <w:rsid w:val="00A87551"/>
    <w:rsid w:val="00A876CC"/>
    <w:rsid w:val="00A87E7F"/>
    <w:rsid w:val="00A87EC2"/>
    <w:rsid w:val="00A90149"/>
    <w:rsid w:val="00A90490"/>
    <w:rsid w:val="00A90588"/>
    <w:rsid w:val="00A90A53"/>
    <w:rsid w:val="00A90B57"/>
    <w:rsid w:val="00A91244"/>
    <w:rsid w:val="00A9131F"/>
    <w:rsid w:val="00A91681"/>
    <w:rsid w:val="00A91774"/>
    <w:rsid w:val="00A91C2D"/>
    <w:rsid w:val="00A91C7F"/>
    <w:rsid w:val="00A92066"/>
    <w:rsid w:val="00A92516"/>
    <w:rsid w:val="00A926B5"/>
    <w:rsid w:val="00A92776"/>
    <w:rsid w:val="00A93181"/>
    <w:rsid w:val="00A9351E"/>
    <w:rsid w:val="00A93660"/>
    <w:rsid w:val="00A938E6"/>
    <w:rsid w:val="00A93980"/>
    <w:rsid w:val="00A93A9E"/>
    <w:rsid w:val="00A93B33"/>
    <w:rsid w:val="00A93C7D"/>
    <w:rsid w:val="00A93CCF"/>
    <w:rsid w:val="00A94167"/>
    <w:rsid w:val="00A942C9"/>
    <w:rsid w:val="00A943BE"/>
    <w:rsid w:val="00A9480F"/>
    <w:rsid w:val="00A949CA"/>
    <w:rsid w:val="00A94E4E"/>
    <w:rsid w:val="00A94EB6"/>
    <w:rsid w:val="00A95414"/>
    <w:rsid w:val="00A95514"/>
    <w:rsid w:val="00A957C2"/>
    <w:rsid w:val="00A95BD5"/>
    <w:rsid w:val="00A95C53"/>
    <w:rsid w:val="00A96488"/>
    <w:rsid w:val="00A968F6"/>
    <w:rsid w:val="00A969CB"/>
    <w:rsid w:val="00A96C7B"/>
    <w:rsid w:val="00A96E0A"/>
    <w:rsid w:val="00A96E6F"/>
    <w:rsid w:val="00A96F78"/>
    <w:rsid w:val="00A9705C"/>
    <w:rsid w:val="00A97162"/>
    <w:rsid w:val="00A9732A"/>
    <w:rsid w:val="00A975E9"/>
    <w:rsid w:val="00A978D2"/>
    <w:rsid w:val="00A979E1"/>
    <w:rsid w:val="00A97F2A"/>
    <w:rsid w:val="00AA011C"/>
    <w:rsid w:val="00AA01CC"/>
    <w:rsid w:val="00AA0651"/>
    <w:rsid w:val="00AA087E"/>
    <w:rsid w:val="00AA08BD"/>
    <w:rsid w:val="00AA0B7F"/>
    <w:rsid w:val="00AA0B9E"/>
    <w:rsid w:val="00AA0EBC"/>
    <w:rsid w:val="00AA1087"/>
    <w:rsid w:val="00AA161A"/>
    <w:rsid w:val="00AA186C"/>
    <w:rsid w:val="00AA199F"/>
    <w:rsid w:val="00AA1B82"/>
    <w:rsid w:val="00AA1CBE"/>
    <w:rsid w:val="00AA1DA5"/>
    <w:rsid w:val="00AA1E51"/>
    <w:rsid w:val="00AA22E4"/>
    <w:rsid w:val="00AA247C"/>
    <w:rsid w:val="00AA25A9"/>
    <w:rsid w:val="00AA25EE"/>
    <w:rsid w:val="00AA25FB"/>
    <w:rsid w:val="00AA264A"/>
    <w:rsid w:val="00AA26D9"/>
    <w:rsid w:val="00AA2740"/>
    <w:rsid w:val="00AA278A"/>
    <w:rsid w:val="00AA2928"/>
    <w:rsid w:val="00AA29B0"/>
    <w:rsid w:val="00AA2B62"/>
    <w:rsid w:val="00AA2F7A"/>
    <w:rsid w:val="00AA30AD"/>
    <w:rsid w:val="00AA3182"/>
    <w:rsid w:val="00AA3183"/>
    <w:rsid w:val="00AA3562"/>
    <w:rsid w:val="00AA3577"/>
    <w:rsid w:val="00AA3646"/>
    <w:rsid w:val="00AA400C"/>
    <w:rsid w:val="00AA4605"/>
    <w:rsid w:val="00AA4729"/>
    <w:rsid w:val="00AA48B1"/>
    <w:rsid w:val="00AA5004"/>
    <w:rsid w:val="00AA51AD"/>
    <w:rsid w:val="00AA526E"/>
    <w:rsid w:val="00AA591E"/>
    <w:rsid w:val="00AA5A92"/>
    <w:rsid w:val="00AA5DF4"/>
    <w:rsid w:val="00AA6129"/>
    <w:rsid w:val="00AA64BE"/>
    <w:rsid w:val="00AA64FC"/>
    <w:rsid w:val="00AA65C9"/>
    <w:rsid w:val="00AA66CB"/>
    <w:rsid w:val="00AA6774"/>
    <w:rsid w:val="00AA6CCD"/>
    <w:rsid w:val="00AA7D24"/>
    <w:rsid w:val="00AB00E1"/>
    <w:rsid w:val="00AB0210"/>
    <w:rsid w:val="00AB02E1"/>
    <w:rsid w:val="00AB0399"/>
    <w:rsid w:val="00AB07C2"/>
    <w:rsid w:val="00AB0A32"/>
    <w:rsid w:val="00AB0B90"/>
    <w:rsid w:val="00AB0E56"/>
    <w:rsid w:val="00AB0ED5"/>
    <w:rsid w:val="00AB13F0"/>
    <w:rsid w:val="00AB18AC"/>
    <w:rsid w:val="00AB19FF"/>
    <w:rsid w:val="00AB1A0A"/>
    <w:rsid w:val="00AB1C40"/>
    <w:rsid w:val="00AB1EB7"/>
    <w:rsid w:val="00AB226F"/>
    <w:rsid w:val="00AB25E2"/>
    <w:rsid w:val="00AB2740"/>
    <w:rsid w:val="00AB2A23"/>
    <w:rsid w:val="00AB3080"/>
    <w:rsid w:val="00AB384D"/>
    <w:rsid w:val="00AB3A15"/>
    <w:rsid w:val="00AB3A72"/>
    <w:rsid w:val="00AB3CEF"/>
    <w:rsid w:val="00AB43BA"/>
    <w:rsid w:val="00AB4A0A"/>
    <w:rsid w:val="00AB4ECC"/>
    <w:rsid w:val="00AB4F0F"/>
    <w:rsid w:val="00AB5041"/>
    <w:rsid w:val="00AB5065"/>
    <w:rsid w:val="00AB5119"/>
    <w:rsid w:val="00AB53E3"/>
    <w:rsid w:val="00AB5460"/>
    <w:rsid w:val="00AB5530"/>
    <w:rsid w:val="00AB5625"/>
    <w:rsid w:val="00AB58CF"/>
    <w:rsid w:val="00AB5A02"/>
    <w:rsid w:val="00AB60E2"/>
    <w:rsid w:val="00AB648B"/>
    <w:rsid w:val="00AB6582"/>
    <w:rsid w:val="00AB6601"/>
    <w:rsid w:val="00AB674E"/>
    <w:rsid w:val="00AB6844"/>
    <w:rsid w:val="00AB69CE"/>
    <w:rsid w:val="00AB6D79"/>
    <w:rsid w:val="00AB709E"/>
    <w:rsid w:val="00AB755D"/>
    <w:rsid w:val="00AB762C"/>
    <w:rsid w:val="00AB77BC"/>
    <w:rsid w:val="00AB7806"/>
    <w:rsid w:val="00AB7913"/>
    <w:rsid w:val="00AB7BF6"/>
    <w:rsid w:val="00AB7C89"/>
    <w:rsid w:val="00AB7FFA"/>
    <w:rsid w:val="00AC0104"/>
    <w:rsid w:val="00AC02C1"/>
    <w:rsid w:val="00AC0317"/>
    <w:rsid w:val="00AC0570"/>
    <w:rsid w:val="00AC0738"/>
    <w:rsid w:val="00AC087F"/>
    <w:rsid w:val="00AC08BA"/>
    <w:rsid w:val="00AC0A71"/>
    <w:rsid w:val="00AC0AB6"/>
    <w:rsid w:val="00AC10AD"/>
    <w:rsid w:val="00AC1E55"/>
    <w:rsid w:val="00AC267E"/>
    <w:rsid w:val="00AC2784"/>
    <w:rsid w:val="00AC2E27"/>
    <w:rsid w:val="00AC361D"/>
    <w:rsid w:val="00AC3D06"/>
    <w:rsid w:val="00AC3E6F"/>
    <w:rsid w:val="00AC3ED0"/>
    <w:rsid w:val="00AC4022"/>
    <w:rsid w:val="00AC429F"/>
    <w:rsid w:val="00AC482E"/>
    <w:rsid w:val="00AC4C85"/>
    <w:rsid w:val="00AC4E78"/>
    <w:rsid w:val="00AC5075"/>
    <w:rsid w:val="00AC54D5"/>
    <w:rsid w:val="00AC5820"/>
    <w:rsid w:val="00AC5B50"/>
    <w:rsid w:val="00AC5CBC"/>
    <w:rsid w:val="00AC60B4"/>
    <w:rsid w:val="00AC6585"/>
    <w:rsid w:val="00AC67B6"/>
    <w:rsid w:val="00AC696B"/>
    <w:rsid w:val="00AC6C07"/>
    <w:rsid w:val="00AC6CE2"/>
    <w:rsid w:val="00AC753A"/>
    <w:rsid w:val="00AC76CF"/>
    <w:rsid w:val="00AC7D98"/>
    <w:rsid w:val="00AD00C5"/>
    <w:rsid w:val="00AD02D1"/>
    <w:rsid w:val="00AD09F3"/>
    <w:rsid w:val="00AD165F"/>
    <w:rsid w:val="00AD16D3"/>
    <w:rsid w:val="00AD24F9"/>
    <w:rsid w:val="00AD2794"/>
    <w:rsid w:val="00AD27FC"/>
    <w:rsid w:val="00AD2DC5"/>
    <w:rsid w:val="00AD2EB8"/>
    <w:rsid w:val="00AD303E"/>
    <w:rsid w:val="00AD3455"/>
    <w:rsid w:val="00AD382F"/>
    <w:rsid w:val="00AD3A88"/>
    <w:rsid w:val="00AD3CAD"/>
    <w:rsid w:val="00AD3E02"/>
    <w:rsid w:val="00AD4256"/>
    <w:rsid w:val="00AD448A"/>
    <w:rsid w:val="00AD4813"/>
    <w:rsid w:val="00AD4B09"/>
    <w:rsid w:val="00AD53C8"/>
    <w:rsid w:val="00AD5839"/>
    <w:rsid w:val="00AD596B"/>
    <w:rsid w:val="00AD5A99"/>
    <w:rsid w:val="00AD5D76"/>
    <w:rsid w:val="00AD641E"/>
    <w:rsid w:val="00AD6639"/>
    <w:rsid w:val="00AD686E"/>
    <w:rsid w:val="00AD69FF"/>
    <w:rsid w:val="00AD6A3B"/>
    <w:rsid w:val="00AD6B0B"/>
    <w:rsid w:val="00AD6C49"/>
    <w:rsid w:val="00AD702B"/>
    <w:rsid w:val="00AD708B"/>
    <w:rsid w:val="00AD72BD"/>
    <w:rsid w:val="00AD72E6"/>
    <w:rsid w:val="00AD75E0"/>
    <w:rsid w:val="00AD7C95"/>
    <w:rsid w:val="00AD7D61"/>
    <w:rsid w:val="00AD7E22"/>
    <w:rsid w:val="00AD7FCD"/>
    <w:rsid w:val="00AE03D1"/>
    <w:rsid w:val="00AE040E"/>
    <w:rsid w:val="00AE0645"/>
    <w:rsid w:val="00AE0DA9"/>
    <w:rsid w:val="00AE10D6"/>
    <w:rsid w:val="00AE122D"/>
    <w:rsid w:val="00AE141E"/>
    <w:rsid w:val="00AE149D"/>
    <w:rsid w:val="00AE1BC0"/>
    <w:rsid w:val="00AE1DC2"/>
    <w:rsid w:val="00AE22C3"/>
    <w:rsid w:val="00AE2866"/>
    <w:rsid w:val="00AE2BED"/>
    <w:rsid w:val="00AE2C18"/>
    <w:rsid w:val="00AE306D"/>
    <w:rsid w:val="00AE3691"/>
    <w:rsid w:val="00AE37B4"/>
    <w:rsid w:val="00AE3894"/>
    <w:rsid w:val="00AE3946"/>
    <w:rsid w:val="00AE3A21"/>
    <w:rsid w:val="00AE3A68"/>
    <w:rsid w:val="00AE3C2A"/>
    <w:rsid w:val="00AE3DE1"/>
    <w:rsid w:val="00AE3F18"/>
    <w:rsid w:val="00AE3F96"/>
    <w:rsid w:val="00AE40CF"/>
    <w:rsid w:val="00AE4AE5"/>
    <w:rsid w:val="00AE4F50"/>
    <w:rsid w:val="00AE52E9"/>
    <w:rsid w:val="00AE5439"/>
    <w:rsid w:val="00AE55F2"/>
    <w:rsid w:val="00AE57FF"/>
    <w:rsid w:val="00AE5E1A"/>
    <w:rsid w:val="00AE601B"/>
    <w:rsid w:val="00AE60FF"/>
    <w:rsid w:val="00AE61B2"/>
    <w:rsid w:val="00AE6CD5"/>
    <w:rsid w:val="00AE6CDE"/>
    <w:rsid w:val="00AE6D07"/>
    <w:rsid w:val="00AE6E62"/>
    <w:rsid w:val="00AE6E65"/>
    <w:rsid w:val="00AE6F3E"/>
    <w:rsid w:val="00AE77C4"/>
    <w:rsid w:val="00AE78D1"/>
    <w:rsid w:val="00AE7B58"/>
    <w:rsid w:val="00AE7E07"/>
    <w:rsid w:val="00AE7E11"/>
    <w:rsid w:val="00AE7EF2"/>
    <w:rsid w:val="00AE7F89"/>
    <w:rsid w:val="00AF01F2"/>
    <w:rsid w:val="00AF0447"/>
    <w:rsid w:val="00AF05A3"/>
    <w:rsid w:val="00AF05A4"/>
    <w:rsid w:val="00AF05D1"/>
    <w:rsid w:val="00AF093D"/>
    <w:rsid w:val="00AF0A6B"/>
    <w:rsid w:val="00AF0E04"/>
    <w:rsid w:val="00AF139F"/>
    <w:rsid w:val="00AF1449"/>
    <w:rsid w:val="00AF1CC8"/>
    <w:rsid w:val="00AF1E72"/>
    <w:rsid w:val="00AF2106"/>
    <w:rsid w:val="00AF2891"/>
    <w:rsid w:val="00AF290D"/>
    <w:rsid w:val="00AF2D54"/>
    <w:rsid w:val="00AF2DCF"/>
    <w:rsid w:val="00AF3458"/>
    <w:rsid w:val="00AF34C9"/>
    <w:rsid w:val="00AF37B2"/>
    <w:rsid w:val="00AF39C7"/>
    <w:rsid w:val="00AF3F7B"/>
    <w:rsid w:val="00AF408D"/>
    <w:rsid w:val="00AF41B5"/>
    <w:rsid w:val="00AF42B4"/>
    <w:rsid w:val="00AF4535"/>
    <w:rsid w:val="00AF475B"/>
    <w:rsid w:val="00AF492B"/>
    <w:rsid w:val="00AF493D"/>
    <w:rsid w:val="00AF4B8A"/>
    <w:rsid w:val="00AF4C40"/>
    <w:rsid w:val="00AF4ED9"/>
    <w:rsid w:val="00AF4F1B"/>
    <w:rsid w:val="00AF4FCC"/>
    <w:rsid w:val="00AF53DA"/>
    <w:rsid w:val="00AF55DE"/>
    <w:rsid w:val="00AF570A"/>
    <w:rsid w:val="00AF5A19"/>
    <w:rsid w:val="00AF5B7D"/>
    <w:rsid w:val="00AF5EC6"/>
    <w:rsid w:val="00AF6077"/>
    <w:rsid w:val="00AF63AC"/>
    <w:rsid w:val="00AF6780"/>
    <w:rsid w:val="00AF68D8"/>
    <w:rsid w:val="00AF68DB"/>
    <w:rsid w:val="00AF6C38"/>
    <w:rsid w:val="00AF6E8A"/>
    <w:rsid w:val="00AF7118"/>
    <w:rsid w:val="00AF7213"/>
    <w:rsid w:val="00AF7771"/>
    <w:rsid w:val="00AF7D92"/>
    <w:rsid w:val="00AF7DE9"/>
    <w:rsid w:val="00AF7FCB"/>
    <w:rsid w:val="00B0025F"/>
    <w:rsid w:val="00B00DF2"/>
    <w:rsid w:val="00B011CC"/>
    <w:rsid w:val="00B013CA"/>
    <w:rsid w:val="00B01B9B"/>
    <w:rsid w:val="00B022C9"/>
    <w:rsid w:val="00B02313"/>
    <w:rsid w:val="00B025B1"/>
    <w:rsid w:val="00B0261D"/>
    <w:rsid w:val="00B02653"/>
    <w:rsid w:val="00B02666"/>
    <w:rsid w:val="00B028B9"/>
    <w:rsid w:val="00B02DD8"/>
    <w:rsid w:val="00B02E13"/>
    <w:rsid w:val="00B031E1"/>
    <w:rsid w:val="00B033FA"/>
    <w:rsid w:val="00B03B43"/>
    <w:rsid w:val="00B04048"/>
    <w:rsid w:val="00B04C51"/>
    <w:rsid w:val="00B04D83"/>
    <w:rsid w:val="00B04F3D"/>
    <w:rsid w:val="00B055DF"/>
    <w:rsid w:val="00B05702"/>
    <w:rsid w:val="00B05C14"/>
    <w:rsid w:val="00B05E22"/>
    <w:rsid w:val="00B06DD9"/>
    <w:rsid w:val="00B06E69"/>
    <w:rsid w:val="00B06ECD"/>
    <w:rsid w:val="00B0704C"/>
    <w:rsid w:val="00B07060"/>
    <w:rsid w:val="00B071C1"/>
    <w:rsid w:val="00B07705"/>
    <w:rsid w:val="00B07C9F"/>
    <w:rsid w:val="00B07CD6"/>
    <w:rsid w:val="00B07D9F"/>
    <w:rsid w:val="00B07E3A"/>
    <w:rsid w:val="00B07E52"/>
    <w:rsid w:val="00B10010"/>
    <w:rsid w:val="00B102DD"/>
    <w:rsid w:val="00B102F2"/>
    <w:rsid w:val="00B110FD"/>
    <w:rsid w:val="00B112FE"/>
    <w:rsid w:val="00B115E4"/>
    <w:rsid w:val="00B11775"/>
    <w:rsid w:val="00B11F48"/>
    <w:rsid w:val="00B12066"/>
    <w:rsid w:val="00B12B3F"/>
    <w:rsid w:val="00B12F75"/>
    <w:rsid w:val="00B1302D"/>
    <w:rsid w:val="00B130BD"/>
    <w:rsid w:val="00B131AB"/>
    <w:rsid w:val="00B13236"/>
    <w:rsid w:val="00B1330C"/>
    <w:rsid w:val="00B134E6"/>
    <w:rsid w:val="00B1390B"/>
    <w:rsid w:val="00B1410E"/>
    <w:rsid w:val="00B1513F"/>
    <w:rsid w:val="00B152D5"/>
    <w:rsid w:val="00B152F4"/>
    <w:rsid w:val="00B15802"/>
    <w:rsid w:val="00B158F4"/>
    <w:rsid w:val="00B159FD"/>
    <w:rsid w:val="00B15B89"/>
    <w:rsid w:val="00B15DD0"/>
    <w:rsid w:val="00B16119"/>
    <w:rsid w:val="00B1657E"/>
    <w:rsid w:val="00B165C7"/>
    <w:rsid w:val="00B16A8D"/>
    <w:rsid w:val="00B16D87"/>
    <w:rsid w:val="00B170DC"/>
    <w:rsid w:val="00B171A1"/>
    <w:rsid w:val="00B173BF"/>
    <w:rsid w:val="00B1746F"/>
    <w:rsid w:val="00B17BC2"/>
    <w:rsid w:val="00B17C36"/>
    <w:rsid w:val="00B17F09"/>
    <w:rsid w:val="00B201F6"/>
    <w:rsid w:val="00B20725"/>
    <w:rsid w:val="00B2087E"/>
    <w:rsid w:val="00B209D7"/>
    <w:rsid w:val="00B20ACA"/>
    <w:rsid w:val="00B20B11"/>
    <w:rsid w:val="00B20B94"/>
    <w:rsid w:val="00B20D84"/>
    <w:rsid w:val="00B21477"/>
    <w:rsid w:val="00B21540"/>
    <w:rsid w:val="00B21B99"/>
    <w:rsid w:val="00B21BB0"/>
    <w:rsid w:val="00B21C10"/>
    <w:rsid w:val="00B21D5B"/>
    <w:rsid w:val="00B21E59"/>
    <w:rsid w:val="00B2231B"/>
    <w:rsid w:val="00B2291D"/>
    <w:rsid w:val="00B22A6C"/>
    <w:rsid w:val="00B22E88"/>
    <w:rsid w:val="00B22FDC"/>
    <w:rsid w:val="00B23B59"/>
    <w:rsid w:val="00B23B5E"/>
    <w:rsid w:val="00B23D98"/>
    <w:rsid w:val="00B23ECF"/>
    <w:rsid w:val="00B24209"/>
    <w:rsid w:val="00B245D6"/>
    <w:rsid w:val="00B248C2"/>
    <w:rsid w:val="00B248D0"/>
    <w:rsid w:val="00B2491C"/>
    <w:rsid w:val="00B24935"/>
    <w:rsid w:val="00B2494D"/>
    <w:rsid w:val="00B24BCB"/>
    <w:rsid w:val="00B24E88"/>
    <w:rsid w:val="00B250B1"/>
    <w:rsid w:val="00B254CA"/>
    <w:rsid w:val="00B25842"/>
    <w:rsid w:val="00B2628E"/>
    <w:rsid w:val="00B265AC"/>
    <w:rsid w:val="00B266B0"/>
    <w:rsid w:val="00B26EF0"/>
    <w:rsid w:val="00B2723E"/>
    <w:rsid w:val="00B27463"/>
    <w:rsid w:val="00B274BA"/>
    <w:rsid w:val="00B27921"/>
    <w:rsid w:val="00B2794C"/>
    <w:rsid w:val="00B27E78"/>
    <w:rsid w:val="00B27FCF"/>
    <w:rsid w:val="00B3000E"/>
    <w:rsid w:val="00B3055E"/>
    <w:rsid w:val="00B305F3"/>
    <w:rsid w:val="00B3076D"/>
    <w:rsid w:val="00B3091A"/>
    <w:rsid w:val="00B30C2F"/>
    <w:rsid w:val="00B31000"/>
    <w:rsid w:val="00B3112A"/>
    <w:rsid w:val="00B3135F"/>
    <w:rsid w:val="00B3179E"/>
    <w:rsid w:val="00B3192D"/>
    <w:rsid w:val="00B31A8B"/>
    <w:rsid w:val="00B31E4B"/>
    <w:rsid w:val="00B324FE"/>
    <w:rsid w:val="00B326A8"/>
    <w:rsid w:val="00B3282B"/>
    <w:rsid w:val="00B3291A"/>
    <w:rsid w:val="00B329EB"/>
    <w:rsid w:val="00B32FCD"/>
    <w:rsid w:val="00B33233"/>
    <w:rsid w:val="00B33508"/>
    <w:rsid w:val="00B3377E"/>
    <w:rsid w:val="00B33FC4"/>
    <w:rsid w:val="00B34511"/>
    <w:rsid w:val="00B346C4"/>
    <w:rsid w:val="00B34E63"/>
    <w:rsid w:val="00B34EEA"/>
    <w:rsid w:val="00B35261"/>
    <w:rsid w:val="00B35396"/>
    <w:rsid w:val="00B35428"/>
    <w:rsid w:val="00B355F4"/>
    <w:rsid w:val="00B3580B"/>
    <w:rsid w:val="00B35C32"/>
    <w:rsid w:val="00B35D12"/>
    <w:rsid w:val="00B35DA4"/>
    <w:rsid w:val="00B35E0C"/>
    <w:rsid w:val="00B3603D"/>
    <w:rsid w:val="00B36643"/>
    <w:rsid w:val="00B36DA8"/>
    <w:rsid w:val="00B370B6"/>
    <w:rsid w:val="00B37571"/>
    <w:rsid w:val="00B375F4"/>
    <w:rsid w:val="00B400A0"/>
    <w:rsid w:val="00B40126"/>
    <w:rsid w:val="00B40306"/>
    <w:rsid w:val="00B406BA"/>
    <w:rsid w:val="00B40A96"/>
    <w:rsid w:val="00B40AED"/>
    <w:rsid w:val="00B40CE9"/>
    <w:rsid w:val="00B40CF9"/>
    <w:rsid w:val="00B40D2A"/>
    <w:rsid w:val="00B40DA8"/>
    <w:rsid w:val="00B411D2"/>
    <w:rsid w:val="00B411FE"/>
    <w:rsid w:val="00B41311"/>
    <w:rsid w:val="00B413A4"/>
    <w:rsid w:val="00B41505"/>
    <w:rsid w:val="00B41555"/>
    <w:rsid w:val="00B4184B"/>
    <w:rsid w:val="00B422A7"/>
    <w:rsid w:val="00B424ED"/>
    <w:rsid w:val="00B4279A"/>
    <w:rsid w:val="00B429A1"/>
    <w:rsid w:val="00B42A32"/>
    <w:rsid w:val="00B42D49"/>
    <w:rsid w:val="00B42FA6"/>
    <w:rsid w:val="00B43165"/>
    <w:rsid w:val="00B4374E"/>
    <w:rsid w:val="00B43863"/>
    <w:rsid w:val="00B4399E"/>
    <w:rsid w:val="00B43A16"/>
    <w:rsid w:val="00B43C95"/>
    <w:rsid w:val="00B43D00"/>
    <w:rsid w:val="00B43ED3"/>
    <w:rsid w:val="00B43F68"/>
    <w:rsid w:val="00B43F77"/>
    <w:rsid w:val="00B43FC4"/>
    <w:rsid w:val="00B44106"/>
    <w:rsid w:val="00B44208"/>
    <w:rsid w:val="00B4420C"/>
    <w:rsid w:val="00B44268"/>
    <w:rsid w:val="00B44301"/>
    <w:rsid w:val="00B4485A"/>
    <w:rsid w:val="00B44AE2"/>
    <w:rsid w:val="00B44B41"/>
    <w:rsid w:val="00B44FAB"/>
    <w:rsid w:val="00B452C3"/>
    <w:rsid w:val="00B454BF"/>
    <w:rsid w:val="00B457B1"/>
    <w:rsid w:val="00B45CE1"/>
    <w:rsid w:val="00B46070"/>
    <w:rsid w:val="00B4612E"/>
    <w:rsid w:val="00B465D3"/>
    <w:rsid w:val="00B46709"/>
    <w:rsid w:val="00B46A75"/>
    <w:rsid w:val="00B46D4D"/>
    <w:rsid w:val="00B4701F"/>
    <w:rsid w:val="00B4706B"/>
    <w:rsid w:val="00B470A7"/>
    <w:rsid w:val="00B47131"/>
    <w:rsid w:val="00B47302"/>
    <w:rsid w:val="00B474BD"/>
    <w:rsid w:val="00B47D6F"/>
    <w:rsid w:val="00B47EEF"/>
    <w:rsid w:val="00B500CD"/>
    <w:rsid w:val="00B504EE"/>
    <w:rsid w:val="00B50820"/>
    <w:rsid w:val="00B509E1"/>
    <w:rsid w:val="00B50F32"/>
    <w:rsid w:val="00B50F78"/>
    <w:rsid w:val="00B5109D"/>
    <w:rsid w:val="00B514B4"/>
    <w:rsid w:val="00B51A9B"/>
    <w:rsid w:val="00B51E19"/>
    <w:rsid w:val="00B51E2F"/>
    <w:rsid w:val="00B51E85"/>
    <w:rsid w:val="00B51FB1"/>
    <w:rsid w:val="00B52289"/>
    <w:rsid w:val="00B5239C"/>
    <w:rsid w:val="00B528D7"/>
    <w:rsid w:val="00B52B42"/>
    <w:rsid w:val="00B52CD0"/>
    <w:rsid w:val="00B52F99"/>
    <w:rsid w:val="00B531D0"/>
    <w:rsid w:val="00B53259"/>
    <w:rsid w:val="00B53893"/>
    <w:rsid w:val="00B54074"/>
    <w:rsid w:val="00B54206"/>
    <w:rsid w:val="00B54227"/>
    <w:rsid w:val="00B54866"/>
    <w:rsid w:val="00B548C2"/>
    <w:rsid w:val="00B54B6A"/>
    <w:rsid w:val="00B54D8D"/>
    <w:rsid w:val="00B55428"/>
    <w:rsid w:val="00B55917"/>
    <w:rsid w:val="00B55ACA"/>
    <w:rsid w:val="00B55ACC"/>
    <w:rsid w:val="00B56299"/>
    <w:rsid w:val="00B569DF"/>
    <w:rsid w:val="00B570BF"/>
    <w:rsid w:val="00B57715"/>
    <w:rsid w:val="00B578C8"/>
    <w:rsid w:val="00B57C31"/>
    <w:rsid w:val="00B57D8D"/>
    <w:rsid w:val="00B57FB5"/>
    <w:rsid w:val="00B6015D"/>
    <w:rsid w:val="00B6043F"/>
    <w:rsid w:val="00B60471"/>
    <w:rsid w:val="00B608FC"/>
    <w:rsid w:val="00B60B8F"/>
    <w:rsid w:val="00B60BD9"/>
    <w:rsid w:val="00B60C26"/>
    <w:rsid w:val="00B60C9E"/>
    <w:rsid w:val="00B60D5E"/>
    <w:rsid w:val="00B610E3"/>
    <w:rsid w:val="00B618AA"/>
    <w:rsid w:val="00B61D6B"/>
    <w:rsid w:val="00B625CC"/>
    <w:rsid w:val="00B6270C"/>
    <w:rsid w:val="00B6274D"/>
    <w:rsid w:val="00B627F5"/>
    <w:rsid w:val="00B62B34"/>
    <w:rsid w:val="00B631C5"/>
    <w:rsid w:val="00B63295"/>
    <w:rsid w:val="00B6332A"/>
    <w:rsid w:val="00B63337"/>
    <w:rsid w:val="00B634CC"/>
    <w:rsid w:val="00B6369F"/>
    <w:rsid w:val="00B637F2"/>
    <w:rsid w:val="00B63975"/>
    <w:rsid w:val="00B639D7"/>
    <w:rsid w:val="00B63FA6"/>
    <w:rsid w:val="00B64AA7"/>
    <w:rsid w:val="00B64E45"/>
    <w:rsid w:val="00B65452"/>
    <w:rsid w:val="00B658AE"/>
    <w:rsid w:val="00B65A15"/>
    <w:rsid w:val="00B65C58"/>
    <w:rsid w:val="00B66212"/>
    <w:rsid w:val="00B66489"/>
    <w:rsid w:val="00B66578"/>
    <w:rsid w:val="00B66594"/>
    <w:rsid w:val="00B66598"/>
    <w:rsid w:val="00B66664"/>
    <w:rsid w:val="00B6679B"/>
    <w:rsid w:val="00B66A07"/>
    <w:rsid w:val="00B66BAD"/>
    <w:rsid w:val="00B6722A"/>
    <w:rsid w:val="00B67331"/>
    <w:rsid w:val="00B67546"/>
    <w:rsid w:val="00B67805"/>
    <w:rsid w:val="00B678FA"/>
    <w:rsid w:val="00B67BFC"/>
    <w:rsid w:val="00B701FE"/>
    <w:rsid w:val="00B702DB"/>
    <w:rsid w:val="00B711EA"/>
    <w:rsid w:val="00B7140A"/>
    <w:rsid w:val="00B71417"/>
    <w:rsid w:val="00B71911"/>
    <w:rsid w:val="00B72124"/>
    <w:rsid w:val="00B721CD"/>
    <w:rsid w:val="00B7267A"/>
    <w:rsid w:val="00B726FF"/>
    <w:rsid w:val="00B72721"/>
    <w:rsid w:val="00B72772"/>
    <w:rsid w:val="00B72A5B"/>
    <w:rsid w:val="00B72AA4"/>
    <w:rsid w:val="00B72B42"/>
    <w:rsid w:val="00B732FF"/>
    <w:rsid w:val="00B73868"/>
    <w:rsid w:val="00B738F3"/>
    <w:rsid w:val="00B7499E"/>
    <w:rsid w:val="00B74A28"/>
    <w:rsid w:val="00B74D23"/>
    <w:rsid w:val="00B74EEB"/>
    <w:rsid w:val="00B75345"/>
    <w:rsid w:val="00B75454"/>
    <w:rsid w:val="00B7547A"/>
    <w:rsid w:val="00B75B2A"/>
    <w:rsid w:val="00B75C36"/>
    <w:rsid w:val="00B7610C"/>
    <w:rsid w:val="00B761A7"/>
    <w:rsid w:val="00B763EC"/>
    <w:rsid w:val="00B7643C"/>
    <w:rsid w:val="00B7695D"/>
    <w:rsid w:val="00B769EB"/>
    <w:rsid w:val="00B76BCD"/>
    <w:rsid w:val="00B76EE9"/>
    <w:rsid w:val="00B76F2B"/>
    <w:rsid w:val="00B77014"/>
    <w:rsid w:val="00B77231"/>
    <w:rsid w:val="00B774F8"/>
    <w:rsid w:val="00B776CD"/>
    <w:rsid w:val="00B77880"/>
    <w:rsid w:val="00B77B84"/>
    <w:rsid w:val="00B77BC9"/>
    <w:rsid w:val="00B8006A"/>
    <w:rsid w:val="00B803C7"/>
    <w:rsid w:val="00B80AB2"/>
    <w:rsid w:val="00B80D90"/>
    <w:rsid w:val="00B80E75"/>
    <w:rsid w:val="00B80F7A"/>
    <w:rsid w:val="00B8134F"/>
    <w:rsid w:val="00B816B7"/>
    <w:rsid w:val="00B81AD0"/>
    <w:rsid w:val="00B81AD6"/>
    <w:rsid w:val="00B81F5A"/>
    <w:rsid w:val="00B82613"/>
    <w:rsid w:val="00B828B5"/>
    <w:rsid w:val="00B82947"/>
    <w:rsid w:val="00B82970"/>
    <w:rsid w:val="00B82ED8"/>
    <w:rsid w:val="00B83642"/>
    <w:rsid w:val="00B8379A"/>
    <w:rsid w:val="00B8394F"/>
    <w:rsid w:val="00B83A24"/>
    <w:rsid w:val="00B83BC1"/>
    <w:rsid w:val="00B83E1B"/>
    <w:rsid w:val="00B8404B"/>
    <w:rsid w:val="00B84064"/>
    <w:rsid w:val="00B840DD"/>
    <w:rsid w:val="00B84588"/>
    <w:rsid w:val="00B845D0"/>
    <w:rsid w:val="00B84770"/>
    <w:rsid w:val="00B84A80"/>
    <w:rsid w:val="00B84AC1"/>
    <w:rsid w:val="00B84B6D"/>
    <w:rsid w:val="00B84BD6"/>
    <w:rsid w:val="00B84E9C"/>
    <w:rsid w:val="00B85054"/>
    <w:rsid w:val="00B853AF"/>
    <w:rsid w:val="00B85517"/>
    <w:rsid w:val="00B85522"/>
    <w:rsid w:val="00B8557D"/>
    <w:rsid w:val="00B855A3"/>
    <w:rsid w:val="00B85C07"/>
    <w:rsid w:val="00B85FD2"/>
    <w:rsid w:val="00B8601E"/>
    <w:rsid w:val="00B864A4"/>
    <w:rsid w:val="00B86599"/>
    <w:rsid w:val="00B866DE"/>
    <w:rsid w:val="00B868B8"/>
    <w:rsid w:val="00B86E98"/>
    <w:rsid w:val="00B86EF5"/>
    <w:rsid w:val="00B87346"/>
    <w:rsid w:val="00B87801"/>
    <w:rsid w:val="00B879A5"/>
    <w:rsid w:val="00B879D0"/>
    <w:rsid w:val="00B87C8B"/>
    <w:rsid w:val="00B87FA1"/>
    <w:rsid w:val="00B90217"/>
    <w:rsid w:val="00B90E2A"/>
    <w:rsid w:val="00B90F2A"/>
    <w:rsid w:val="00B910C5"/>
    <w:rsid w:val="00B91687"/>
    <w:rsid w:val="00B9198D"/>
    <w:rsid w:val="00B91D03"/>
    <w:rsid w:val="00B91F54"/>
    <w:rsid w:val="00B926C6"/>
    <w:rsid w:val="00B929B4"/>
    <w:rsid w:val="00B92C23"/>
    <w:rsid w:val="00B92D25"/>
    <w:rsid w:val="00B93008"/>
    <w:rsid w:val="00B93191"/>
    <w:rsid w:val="00B94026"/>
    <w:rsid w:val="00B9406D"/>
    <w:rsid w:val="00B94389"/>
    <w:rsid w:val="00B94501"/>
    <w:rsid w:val="00B946A3"/>
    <w:rsid w:val="00B94862"/>
    <w:rsid w:val="00B94B83"/>
    <w:rsid w:val="00B94BA7"/>
    <w:rsid w:val="00B94E0E"/>
    <w:rsid w:val="00B94EB5"/>
    <w:rsid w:val="00B953AB"/>
    <w:rsid w:val="00B95733"/>
    <w:rsid w:val="00B95838"/>
    <w:rsid w:val="00B962E6"/>
    <w:rsid w:val="00B963AD"/>
    <w:rsid w:val="00B96413"/>
    <w:rsid w:val="00B9658C"/>
    <w:rsid w:val="00B9679B"/>
    <w:rsid w:val="00B976B9"/>
    <w:rsid w:val="00B97CA3"/>
    <w:rsid w:val="00BA023F"/>
    <w:rsid w:val="00BA080C"/>
    <w:rsid w:val="00BA0972"/>
    <w:rsid w:val="00BA097E"/>
    <w:rsid w:val="00BA0A2A"/>
    <w:rsid w:val="00BA1090"/>
    <w:rsid w:val="00BA1104"/>
    <w:rsid w:val="00BA1292"/>
    <w:rsid w:val="00BA1296"/>
    <w:rsid w:val="00BA1564"/>
    <w:rsid w:val="00BA174D"/>
    <w:rsid w:val="00BA17E8"/>
    <w:rsid w:val="00BA1872"/>
    <w:rsid w:val="00BA1894"/>
    <w:rsid w:val="00BA1913"/>
    <w:rsid w:val="00BA1BD2"/>
    <w:rsid w:val="00BA1C41"/>
    <w:rsid w:val="00BA1D9C"/>
    <w:rsid w:val="00BA1E54"/>
    <w:rsid w:val="00BA2377"/>
    <w:rsid w:val="00BA242B"/>
    <w:rsid w:val="00BA2AD8"/>
    <w:rsid w:val="00BA2B86"/>
    <w:rsid w:val="00BA2BC9"/>
    <w:rsid w:val="00BA2C14"/>
    <w:rsid w:val="00BA3725"/>
    <w:rsid w:val="00BA3BE6"/>
    <w:rsid w:val="00BA3C73"/>
    <w:rsid w:val="00BA41F1"/>
    <w:rsid w:val="00BA4288"/>
    <w:rsid w:val="00BA431A"/>
    <w:rsid w:val="00BA4544"/>
    <w:rsid w:val="00BA4641"/>
    <w:rsid w:val="00BA48FE"/>
    <w:rsid w:val="00BA4922"/>
    <w:rsid w:val="00BA4A54"/>
    <w:rsid w:val="00BA4BFD"/>
    <w:rsid w:val="00BA50A7"/>
    <w:rsid w:val="00BA52DB"/>
    <w:rsid w:val="00BA5301"/>
    <w:rsid w:val="00BA5310"/>
    <w:rsid w:val="00BA5DF5"/>
    <w:rsid w:val="00BA6180"/>
    <w:rsid w:val="00BA622E"/>
    <w:rsid w:val="00BA640A"/>
    <w:rsid w:val="00BA64A0"/>
    <w:rsid w:val="00BA6986"/>
    <w:rsid w:val="00BA6D4E"/>
    <w:rsid w:val="00BA6F53"/>
    <w:rsid w:val="00BA7205"/>
    <w:rsid w:val="00BA75E0"/>
    <w:rsid w:val="00BA7601"/>
    <w:rsid w:val="00BA76A9"/>
    <w:rsid w:val="00BA7728"/>
    <w:rsid w:val="00BA77C5"/>
    <w:rsid w:val="00BA77FC"/>
    <w:rsid w:val="00BA79DC"/>
    <w:rsid w:val="00BA7A00"/>
    <w:rsid w:val="00BA7C20"/>
    <w:rsid w:val="00BB01D0"/>
    <w:rsid w:val="00BB033B"/>
    <w:rsid w:val="00BB0595"/>
    <w:rsid w:val="00BB082A"/>
    <w:rsid w:val="00BB0C08"/>
    <w:rsid w:val="00BB0CB7"/>
    <w:rsid w:val="00BB0F6A"/>
    <w:rsid w:val="00BB1005"/>
    <w:rsid w:val="00BB100A"/>
    <w:rsid w:val="00BB10FC"/>
    <w:rsid w:val="00BB117E"/>
    <w:rsid w:val="00BB11F9"/>
    <w:rsid w:val="00BB136D"/>
    <w:rsid w:val="00BB186C"/>
    <w:rsid w:val="00BB1898"/>
    <w:rsid w:val="00BB1D64"/>
    <w:rsid w:val="00BB1EC3"/>
    <w:rsid w:val="00BB1ECB"/>
    <w:rsid w:val="00BB2A06"/>
    <w:rsid w:val="00BB2B13"/>
    <w:rsid w:val="00BB2F36"/>
    <w:rsid w:val="00BB3456"/>
    <w:rsid w:val="00BB35D0"/>
    <w:rsid w:val="00BB3E2B"/>
    <w:rsid w:val="00BB429F"/>
    <w:rsid w:val="00BB47FA"/>
    <w:rsid w:val="00BB4972"/>
    <w:rsid w:val="00BB4C02"/>
    <w:rsid w:val="00BB4C8B"/>
    <w:rsid w:val="00BB52E4"/>
    <w:rsid w:val="00BB5A64"/>
    <w:rsid w:val="00BB5BA2"/>
    <w:rsid w:val="00BB5D1C"/>
    <w:rsid w:val="00BB5D39"/>
    <w:rsid w:val="00BB6552"/>
    <w:rsid w:val="00BB65E0"/>
    <w:rsid w:val="00BB66ED"/>
    <w:rsid w:val="00BB6975"/>
    <w:rsid w:val="00BB69D6"/>
    <w:rsid w:val="00BB6B9B"/>
    <w:rsid w:val="00BB754F"/>
    <w:rsid w:val="00BB75A1"/>
    <w:rsid w:val="00BB7A66"/>
    <w:rsid w:val="00BB7B7E"/>
    <w:rsid w:val="00BB7C77"/>
    <w:rsid w:val="00BB7E23"/>
    <w:rsid w:val="00BC0058"/>
    <w:rsid w:val="00BC05BA"/>
    <w:rsid w:val="00BC07D4"/>
    <w:rsid w:val="00BC0A5D"/>
    <w:rsid w:val="00BC0B5B"/>
    <w:rsid w:val="00BC0BE3"/>
    <w:rsid w:val="00BC0C54"/>
    <w:rsid w:val="00BC0D2A"/>
    <w:rsid w:val="00BC0D83"/>
    <w:rsid w:val="00BC1019"/>
    <w:rsid w:val="00BC1942"/>
    <w:rsid w:val="00BC198B"/>
    <w:rsid w:val="00BC199E"/>
    <w:rsid w:val="00BC19B5"/>
    <w:rsid w:val="00BC1AD9"/>
    <w:rsid w:val="00BC29F6"/>
    <w:rsid w:val="00BC2AD7"/>
    <w:rsid w:val="00BC2CEB"/>
    <w:rsid w:val="00BC2DE9"/>
    <w:rsid w:val="00BC2E96"/>
    <w:rsid w:val="00BC3257"/>
    <w:rsid w:val="00BC32E7"/>
    <w:rsid w:val="00BC3BEE"/>
    <w:rsid w:val="00BC4213"/>
    <w:rsid w:val="00BC4642"/>
    <w:rsid w:val="00BC46F2"/>
    <w:rsid w:val="00BC4962"/>
    <w:rsid w:val="00BC4B18"/>
    <w:rsid w:val="00BC4BBF"/>
    <w:rsid w:val="00BC4C0B"/>
    <w:rsid w:val="00BC4F81"/>
    <w:rsid w:val="00BC52A6"/>
    <w:rsid w:val="00BC5670"/>
    <w:rsid w:val="00BC58B9"/>
    <w:rsid w:val="00BC6419"/>
    <w:rsid w:val="00BC660F"/>
    <w:rsid w:val="00BC67EB"/>
    <w:rsid w:val="00BC6EA4"/>
    <w:rsid w:val="00BC7011"/>
    <w:rsid w:val="00BC71B9"/>
    <w:rsid w:val="00BC74B5"/>
    <w:rsid w:val="00BC75A6"/>
    <w:rsid w:val="00BC7775"/>
    <w:rsid w:val="00BC7998"/>
    <w:rsid w:val="00BC7AC9"/>
    <w:rsid w:val="00BC7B88"/>
    <w:rsid w:val="00BC7BEF"/>
    <w:rsid w:val="00BD001A"/>
    <w:rsid w:val="00BD0AB5"/>
    <w:rsid w:val="00BD1123"/>
    <w:rsid w:val="00BD146E"/>
    <w:rsid w:val="00BD1999"/>
    <w:rsid w:val="00BD1B19"/>
    <w:rsid w:val="00BD1B1B"/>
    <w:rsid w:val="00BD1FB6"/>
    <w:rsid w:val="00BD1FE9"/>
    <w:rsid w:val="00BD200D"/>
    <w:rsid w:val="00BD2356"/>
    <w:rsid w:val="00BD2A37"/>
    <w:rsid w:val="00BD2CB3"/>
    <w:rsid w:val="00BD2EE8"/>
    <w:rsid w:val="00BD2F13"/>
    <w:rsid w:val="00BD3056"/>
    <w:rsid w:val="00BD3200"/>
    <w:rsid w:val="00BD3846"/>
    <w:rsid w:val="00BD3E68"/>
    <w:rsid w:val="00BD3ED7"/>
    <w:rsid w:val="00BD3FA9"/>
    <w:rsid w:val="00BD4369"/>
    <w:rsid w:val="00BD46AD"/>
    <w:rsid w:val="00BD4E05"/>
    <w:rsid w:val="00BD5842"/>
    <w:rsid w:val="00BD598A"/>
    <w:rsid w:val="00BD5C6B"/>
    <w:rsid w:val="00BD5C7A"/>
    <w:rsid w:val="00BD61BA"/>
    <w:rsid w:val="00BD648D"/>
    <w:rsid w:val="00BD67A8"/>
    <w:rsid w:val="00BD6AB6"/>
    <w:rsid w:val="00BD6BA6"/>
    <w:rsid w:val="00BD6CA8"/>
    <w:rsid w:val="00BD70E0"/>
    <w:rsid w:val="00BD723F"/>
    <w:rsid w:val="00BD74C1"/>
    <w:rsid w:val="00BD75B4"/>
    <w:rsid w:val="00BD776E"/>
    <w:rsid w:val="00BD78EF"/>
    <w:rsid w:val="00BD7A93"/>
    <w:rsid w:val="00BD7D14"/>
    <w:rsid w:val="00BD7E94"/>
    <w:rsid w:val="00BE02B4"/>
    <w:rsid w:val="00BE02BD"/>
    <w:rsid w:val="00BE0324"/>
    <w:rsid w:val="00BE053D"/>
    <w:rsid w:val="00BE0CD6"/>
    <w:rsid w:val="00BE117C"/>
    <w:rsid w:val="00BE1548"/>
    <w:rsid w:val="00BE1854"/>
    <w:rsid w:val="00BE1ABC"/>
    <w:rsid w:val="00BE1C4E"/>
    <w:rsid w:val="00BE264C"/>
    <w:rsid w:val="00BE27BB"/>
    <w:rsid w:val="00BE28C1"/>
    <w:rsid w:val="00BE2999"/>
    <w:rsid w:val="00BE2EAC"/>
    <w:rsid w:val="00BE2F1D"/>
    <w:rsid w:val="00BE2F3A"/>
    <w:rsid w:val="00BE2FEE"/>
    <w:rsid w:val="00BE3409"/>
    <w:rsid w:val="00BE3456"/>
    <w:rsid w:val="00BE3492"/>
    <w:rsid w:val="00BE36BD"/>
    <w:rsid w:val="00BE3B62"/>
    <w:rsid w:val="00BE3F24"/>
    <w:rsid w:val="00BE4443"/>
    <w:rsid w:val="00BE4727"/>
    <w:rsid w:val="00BE486E"/>
    <w:rsid w:val="00BE4DC9"/>
    <w:rsid w:val="00BE4EC9"/>
    <w:rsid w:val="00BE4F92"/>
    <w:rsid w:val="00BE56DE"/>
    <w:rsid w:val="00BE631E"/>
    <w:rsid w:val="00BE63C4"/>
    <w:rsid w:val="00BE6B10"/>
    <w:rsid w:val="00BE6BEC"/>
    <w:rsid w:val="00BE7203"/>
    <w:rsid w:val="00BE744F"/>
    <w:rsid w:val="00BE7649"/>
    <w:rsid w:val="00BE77C5"/>
    <w:rsid w:val="00BE7D51"/>
    <w:rsid w:val="00BE7D74"/>
    <w:rsid w:val="00BF02BB"/>
    <w:rsid w:val="00BF054C"/>
    <w:rsid w:val="00BF091F"/>
    <w:rsid w:val="00BF09DE"/>
    <w:rsid w:val="00BF0AEB"/>
    <w:rsid w:val="00BF0B8F"/>
    <w:rsid w:val="00BF0CCF"/>
    <w:rsid w:val="00BF0F3F"/>
    <w:rsid w:val="00BF0FC5"/>
    <w:rsid w:val="00BF10A9"/>
    <w:rsid w:val="00BF10BC"/>
    <w:rsid w:val="00BF10F2"/>
    <w:rsid w:val="00BF1562"/>
    <w:rsid w:val="00BF1C16"/>
    <w:rsid w:val="00BF1EC2"/>
    <w:rsid w:val="00BF20BA"/>
    <w:rsid w:val="00BF21AC"/>
    <w:rsid w:val="00BF22BE"/>
    <w:rsid w:val="00BF2416"/>
    <w:rsid w:val="00BF246C"/>
    <w:rsid w:val="00BF2A2D"/>
    <w:rsid w:val="00BF2B31"/>
    <w:rsid w:val="00BF2E53"/>
    <w:rsid w:val="00BF2F67"/>
    <w:rsid w:val="00BF352A"/>
    <w:rsid w:val="00BF3669"/>
    <w:rsid w:val="00BF3C0D"/>
    <w:rsid w:val="00BF4695"/>
    <w:rsid w:val="00BF47FF"/>
    <w:rsid w:val="00BF4891"/>
    <w:rsid w:val="00BF4B9B"/>
    <w:rsid w:val="00BF4BC7"/>
    <w:rsid w:val="00BF4D35"/>
    <w:rsid w:val="00BF4D5B"/>
    <w:rsid w:val="00BF5049"/>
    <w:rsid w:val="00BF5080"/>
    <w:rsid w:val="00BF55D3"/>
    <w:rsid w:val="00BF5BC3"/>
    <w:rsid w:val="00BF5DB7"/>
    <w:rsid w:val="00BF6252"/>
    <w:rsid w:val="00BF62A8"/>
    <w:rsid w:val="00BF632C"/>
    <w:rsid w:val="00BF6F6B"/>
    <w:rsid w:val="00BF711C"/>
    <w:rsid w:val="00BF7272"/>
    <w:rsid w:val="00BF748E"/>
    <w:rsid w:val="00BF750B"/>
    <w:rsid w:val="00BF760F"/>
    <w:rsid w:val="00BF789B"/>
    <w:rsid w:val="00BF78B7"/>
    <w:rsid w:val="00C00BD4"/>
    <w:rsid w:val="00C00BE2"/>
    <w:rsid w:val="00C00D51"/>
    <w:rsid w:val="00C0140B"/>
    <w:rsid w:val="00C0194F"/>
    <w:rsid w:val="00C01DCE"/>
    <w:rsid w:val="00C01F3F"/>
    <w:rsid w:val="00C022AF"/>
    <w:rsid w:val="00C023E4"/>
    <w:rsid w:val="00C023FC"/>
    <w:rsid w:val="00C02874"/>
    <w:rsid w:val="00C02C30"/>
    <w:rsid w:val="00C02C9E"/>
    <w:rsid w:val="00C03087"/>
    <w:rsid w:val="00C030AC"/>
    <w:rsid w:val="00C032D2"/>
    <w:rsid w:val="00C03301"/>
    <w:rsid w:val="00C03309"/>
    <w:rsid w:val="00C03343"/>
    <w:rsid w:val="00C03783"/>
    <w:rsid w:val="00C037E0"/>
    <w:rsid w:val="00C04419"/>
    <w:rsid w:val="00C046A7"/>
    <w:rsid w:val="00C046B2"/>
    <w:rsid w:val="00C04969"/>
    <w:rsid w:val="00C050D8"/>
    <w:rsid w:val="00C05141"/>
    <w:rsid w:val="00C05196"/>
    <w:rsid w:val="00C05341"/>
    <w:rsid w:val="00C0539E"/>
    <w:rsid w:val="00C05472"/>
    <w:rsid w:val="00C0557A"/>
    <w:rsid w:val="00C056EB"/>
    <w:rsid w:val="00C056ED"/>
    <w:rsid w:val="00C0589F"/>
    <w:rsid w:val="00C059B1"/>
    <w:rsid w:val="00C062F2"/>
    <w:rsid w:val="00C06538"/>
    <w:rsid w:val="00C06548"/>
    <w:rsid w:val="00C067B4"/>
    <w:rsid w:val="00C06818"/>
    <w:rsid w:val="00C06C53"/>
    <w:rsid w:val="00C06D6B"/>
    <w:rsid w:val="00C070A4"/>
    <w:rsid w:val="00C070EC"/>
    <w:rsid w:val="00C072FE"/>
    <w:rsid w:val="00C0748A"/>
    <w:rsid w:val="00C07AE2"/>
    <w:rsid w:val="00C07B09"/>
    <w:rsid w:val="00C07B38"/>
    <w:rsid w:val="00C07BCD"/>
    <w:rsid w:val="00C07F4B"/>
    <w:rsid w:val="00C100F7"/>
    <w:rsid w:val="00C101C3"/>
    <w:rsid w:val="00C11207"/>
    <w:rsid w:val="00C114B8"/>
    <w:rsid w:val="00C1154C"/>
    <w:rsid w:val="00C115E2"/>
    <w:rsid w:val="00C11650"/>
    <w:rsid w:val="00C11939"/>
    <w:rsid w:val="00C11ADE"/>
    <w:rsid w:val="00C11B2F"/>
    <w:rsid w:val="00C12158"/>
    <w:rsid w:val="00C126E0"/>
    <w:rsid w:val="00C12724"/>
    <w:rsid w:val="00C128BC"/>
    <w:rsid w:val="00C12E39"/>
    <w:rsid w:val="00C12EC3"/>
    <w:rsid w:val="00C13153"/>
    <w:rsid w:val="00C133D0"/>
    <w:rsid w:val="00C13630"/>
    <w:rsid w:val="00C1371B"/>
    <w:rsid w:val="00C13D47"/>
    <w:rsid w:val="00C14164"/>
    <w:rsid w:val="00C142BB"/>
    <w:rsid w:val="00C1430C"/>
    <w:rsid w:val="00C143E1"/>
    <w:rsid w:val="00C144A1"/>
    <w:rsid w:val="00C14874"/>
    <w:rsid w:val="00C14AB1"/>
    <w:rsid w:val="00C14BC3"/>
    <w:rsid w:val="00C14BFB"/>
    <w:rsid w:val="00C14C53"/>
    <w:rsid w:val="00C14DF6"/>
    <w:rsid w:val="00C15004"/>
    <w:rsid w:val="00C15028"/>
    <w:rsid w:val="00C15552"/>
    <w:rsid w:val="00C1571F"/>
    <w:rsid w:val="00C15B15"/>
    <w:rsid w:val="00C15BCD"/>
    <w:rsid w:val="00C15BEE"/>
    <w:rsid w:val="00C15C4F"/>
    <w:rsid w:val="00C15D8E"/>
    <w:rsid w:val="00C15F1C"/>
    <w:rsid w:val="00C1612D"/>
    <w:rsid w:val="00C162FB"/>
    <w:rsid w:val="00C1685F"/>
    <w:rsid w:val="00C16908"/>
    <w:rsid w:val="00C16FF5"/>
    <w:rsid w:val="00C17012"/>
    <w:rsid w:val="00C175F2"/>
    <w:rsid w:val="00C1774A"/>
    <w:rsid w:val="00C178FB"/>
    <w:rsid w:val="00C17B5A"/>
    <w:rsid w:val="00C17DF9"/>
    <w:rsid w:val="00C17E1A"/>
    <w:rsid w:val="00C17EBE"/>
    <w:rsid w:val="00C17EED"/>
    <w:rsid w:val="00C20160"/>
    <w:rsid w:val="00C201CA"/>
    <w:rsid w:val="00C201EB"/>
    <w:rsid w:val="00C20367"/>
    <w:rsid w:val="00C20ACC"/>
    <w:rsid w:val="00C20BF7"/>
    <w:rsid w:val="00C20C64"/>
    <w:rsid w:val="00C21118"/>
    <w:rsid w:val="00C21130"/>
    <w:rsid w:val="00C21BCD"/>
    <w:rsid w:val="00C21E2C"/>
    <w:rsid w:val="00C22115"/>
    <w:rsid w:val="00C2255A"/>
    <w:rsid w:val="00C22634"/>
    <w:rsid w:val="00C2273A"/>
    <w:rsid w:val="00C227DC"/>
    <w:rsid w:val="00C22B28"/>
    <w:rsid w:val="00C22BBA"/>
    <w:rsid w:val="00C22C2E"/>
    <w:rsid w:val="00C22CE9"/>
    <w:rsid w:val="00C23084"/>
    <w:rsid w:val="00C2372F"/>
    <w:rsid w:val="00C237CE"/>
    <w:rsid w:val="00C23947"/>
    <w:rsid w:val="00C23D5D"/>
    <w:rsid w:val="00C24227"/>
    <w:rsid w:val="00C2515B"/>
    <w:rsid w:val="00C2518D"/>
    <w:rsid w:val="00C25266"/>
    <w:rsid w:val="00C2573F"/>
    <w:rsid w:val="00C257B7"/>
    <w:rsid w:val="00C257E8"/>
    <w:rsid w:val="00C258FD"/>
    <w:rsid w:val="00C259AE"/>
    <w:rsid w:val="00C25B17"/>
    <w:rsid w:val="00C25E1C"/>
    <w:rsid w:val="00C26064"/>
    <w:rsid w:val="00C263FC"/>
    <w:rsid w:val="00C26504"/>
    <w:rsid w:val="00C26C63"/>
    <w:rsid w:val="00C272E8"/>
    <w:rsid w:val="00C274A2"/>
    <w:rsid w:val="00C27740"/>
    <w:rsid w:val="00C27920"/>
    <w:rsid w:val="00C27F66"/>
    <w:rsid w:val="00C301A9"/>
    <w:rsid w:val="00C30217"/>
    <w:rsid w:val="00C3025F"/>
    <w:rsid w:val="00C302AB"/>
    <w:rsid w:val="00C303FA"/>
    <w:rsid w:val="00C304AA"/>
    <w:rsid w:val="00C306BF"/>
    <w:rsid w:val="00C30ABC"/>
    <w:rsid w:val="00C30B60"/>
    <w:rsid w:val="00C30FB0"/>
    <w:rsid w:val="00C31108"/>
    <w:rsid w:val="00C3119D"/>
    <w:rsid w:val="00C313E7"/>
    <w:rsid w:val="00C314B1"/>
    <w:rsid w:val="00C31BC2"/>
    <w:rsid w:val="00C31DC3"/>
    <w:rsid w:val="00C31E9C"/>
    <w:rsid w:val="00C31FAA"/>
    <w:rsid w:val="00C320B0"/>
    <w:rsid w:val="00C3225D"/>
    <w:rsid w:val="00C32422"/>
    <w:rsid w:val="00C325E0"/>
    <w:rsid w:val="00C328B2"/>
    <w:rsid w:val="00C32AC4"/>
    <w:rsid w:val="00C32EDB"/>
    <w:rsid w:val="00C33359"/>
    <w:rsid w:val="00C3336F"/>
    <w:rsid w:val="00C3340C"/>
    <w:rsid w:val="00C3380A"/>
    <w:rsid w:val="00C33929"/>
    <w:rsid w:val="00C33E7B"/>
    <w:rsid w:val="00C33EAA"/>
    <w:rsid w:val="00C34665"/>
    <w:rsid w:val="00C3469C"/>
    <w:rsid w:val="00C348D6"/>
    <w:rsid w:val="00C3492B"/>
    <w:rsid w:val="00C34CF8"/>
    <w:rsid w:val="00C3504C"/>
    <w:rsid w:val="00C35229"/>
    <w:rsid w:val="00C35254"/>
    <w:rsid w:val="00C353B6"/>
    <w:rsid w:val="00C35423"/>
    <w:rsid w:val="00C35F50"/>
    <w:rsid w:val="00C363C6"/>
    <w:rsid w:val="00C365E7"/>
    <w:rsid w:val="00C36BAE"/>
    <w:rsid w:val="00C36BB5"/>
    <w:rsid w:val="00C36CEA"/>
    <w:rsid w:val="00C36E34"/>
    <w:rsid w:val="00C370E1"/>
    <w:rsid w:val="00C37253"/>
    <w:rsid w:val="00C37A35"/>
    <w:rsid w:val="00C40388"/>
    <w:rsid w:val="00C404D7"/>
    <w:rsid w:val="00C404EE"/>
    <w:rsid w:val="00C4081B"/>
    <w:rsid w:val="00C4092D"/>
    <w:rsid w:val="00C412D2"/>
    <w:rsid w:val="00C414C5"/>
    <w:rsid w:val="00C41696"/>
    <w:rsid w:val="00C4170D"/>
    <w:rsid w:val="00C4171B"/>
    <w:rsid w:val="00C41891"/>
    <w:rsid w:val="00C41B88"/>
    <w:rsid w:val="00C42124"/>
    <w:rsid w:val="00C42689"/>
    <w:rsid w:val="00C42988"/>
    <w:rsid w:val="00C42BD4"/>
    <w:rsid w:val="00C42C80"/>
    <w:rsid w:val="00C42E9E"/>
    <w:rsid w:val="00C430C9"/>
    <w:rsid w:val="00C433C4"/>
    <w:rsid w:val="00C4346E"/>
    <w:rsid w:val="00C4371C"/>
    <w:rsid w:val="00C438D6"/>
    <w:rsid w:val="00C4390C"/>
    <w:rsid w:val="00C43A1A"/>
    <w:rsid w:val="00C43C1F"/>
    <w:rsid w:val="00C43FF0"/>
    <w:rsid w:val="00C44124"/>
    <w:rsid w:val="00C44641"/>
    <w:rsid w:val="00C44993"/>
    <w:rsid w:val="00C44A98"/>
    <w:rsid w:val="00C44DB3"/>
    <w:rsid w:val="00C44F35"/>
    <w:rsid w:val="00C4508D"/>
    <w:rsid w:val="00C4549E"/>
    <w:rsid w:val="00C4559E"/>
    <w:rsid w:val="00C45EF5"/>
    <w:rsid w:val="00C469F6"/>
    <w:rsid w:val="00C46B7E"/>
    <w:rsid w:val="00C46D1B"/>
    <w:rsid w:val="00C470AA"/>
    <w:rsid w:val="00C4723B"/>
    <w:rsid w:val="00C474D6"/>
    <w:rsid w:val="00C47538"/>
    <w:rsid w:val="00C501E2"/>
    <w:rsid w:val="00C5099B"/>
    <w:rsid w:val="00C50A4E"/>
    <w:rsid w:val="00C50B2A"/>
    <w:rsid w:val="00C5163B"/>
    <w:rsid w:val="00C51799"/>
    <w:rsid w:val="00C51C37"/>
    <w:rsid w:val="00C51D26"/>
    <w:rsid w:val="00C52023"/>
    <w:rsid w:val="00C520B1"/>
    <w:rsid w:val="00C522D6"/>
    <w:rsid w:val="00C52621"/>
    <w:rsid w:val="00C52745"/>
    <w:rsid w:val="00C52C52"/>
    <w:rsid w:val="00C52C7D"/>
    <w:rsid w:val="00C52F56"/>
    <w:rsid w:val="00C531BE"/>
    <w:rsid w:val="00C532EB"/>
    <w:rsid w:val="00C5331E"/>
    <w:rsid w:val="00C534B9"/>
    <w:rsid w:val="00C53545"/>
    <w:rsid w:val="00C53CFA"/>
    <w:rsid w:val="00C53E69"/>
    <w:rsid w:val="00C54020"/>
    <w:rsid w:val="00C5406F"/>
    <w:rsid w:val="00C545C5"/>
    <w:rsid w:val="00C54817"/>
    <w:rsid w:val="00C54823"/>
    <w:rsid w:val="00C549B6"/>
    <w:rsid w:val="00C54F35"/>
    <w:rsid w:val="00C55136"/>
    <w:rsid w:val="00C5547A"/>
    <w:rsid w:val="00C55566"/>
    <w:rsid w:val="00C55631"/>
    <w:rsid w:val="00C5564B"/>
    <w:rsid w:val="00C55A9D"/>
    <w:rsid w:val="00C55C4D"/>
    <w:rsid w:val="00C561BC"/>
    <w:rsid w:val="00C564FB"/>
    <w:rsid w:val="00C565D1"/>
    <w:rsid w:val="00C56942"/>
    <w:rsid w:val="00C56AB4"/>
    <w:rsid w:val="00C56DA3"/>
    <w:rsid w:val="00C56DF9"/>
    <w:rsid w:val="00C56F48"/>
    <w:rsid w:val="00C56F62"/>
    <w:rsid w:val="00C57390"/>
    <w:rsid w:val="00C57837"/>
    <w:rsid w:val="00C57A01"/>
    <w:rsid w:val="00C57A2D"/>
    <w:rsid w:val="00C57B0B"/>
    <w:rsid w:val="00C60462"/>
    <w:rsid w:val="00C60567"/>
    <w:rsid w:val="00C607F4"/>
    <w:rsid w:val="00C60B07"/>
    <w:rsid w:val="00C611B3"/>
    <w:rsid w:val="00C611EE"/>
    <w:rsid w:val="00C61511"/>
    <w:rsid w:val="00C61972"/>
    <w:rsid w:val="00C61D4B"/>
    <w:rsid w:val="00C62B0A"/>
    <w:rsid w:val="00C62CE7"/>
    <w:rsid w:val="00C636DF"/>
    <w:rsid w:val="00C63A89"/>
    <w:rsid w:val="00C63BDC"/>
    <w:rsid w:val="00C63C52"/>
    <w:rsid w:val="00C63C71"/>
    <w:rsid w:val="00C63F08"/>
    <w:rsid w:val="00C6416F"/>
    <w:rsid w:val="00C645F7"/>
    <w:rsid w:val="00C64A5D"/>
    <w:rsid w:val="00C6528C"/>
    <w:rsid w:val="00C65A60"/>
    <w:rsid w:val="00C65BD2"/>
    <w:rsid w:val="00C65EB4"/>
    <w:rsid w:val="00C661E8"/>
    <w:rsid w:val="00C668BE"/>
    <w:rsid w:val="00C66ADC"/>
    <w:rsid w:val="00C6706F"/>
    <w:rsid w:val="00C673C7"/>
    <w:rsid w:val="00C6762E"/>
    <w:rsid w:val="00C67989"/>
    <w:rsid w:val="00C67CD9"/>
    <w:rsid w:val="00C70084"/>
    <w:rsid w:val="00C7023F"/>
    <w:rsid w:val="00C7090B"/>
    <w:rsid w:val="00C70941"/>
    <w:rsid w:val="00C70A32"/>
    <w:rsid w:val="00C70B3C"/>
    <w:rsid w:val="00C71662"/>
    <w:rsid w:val="00C719C2"/>
    <w:rsid w:val="00C71D0E"/>
    <w:rsid w:val="00C71FA9"/>
    <w:rsid w:val="00C72022"/>
    <w:rsid w:val="00C7235B"/>
    <w:rsid w:val="00C72776"/>
    <w:rsid w:val="00C727B3"/>
    <w:rsid w:val="00C7292E"/>
    <w:rsid w:val="00C72949"/>
    <w:rsid w:val="00C72E18"/>
    <w:rsid w:val="00C731AD"/>
    <w:rsid w:val="00C73490"/>
    <w:rsid w:val="00C7380B"/>
    <w:rsid w:val="00C73C7E"/>
    <w:rsid w:val="00C742B7"/>
    <w:rsid w:val="00C74421"/>
    <w:rsid w:val="00C7493F"/>
    <w:rsid w:val="00C74A51"/>
    <w:rsid w:val="00C74BF4"/>
    <w:rsid w:val="00C74CD5"/>
    <w:rsid w:val="00C74E2D"/>
    <w:rsid w:val="00C74EFF"/>
    <w:rsid w:val="00C74FFF"/>
    <w:rsid w:val="00C75766"/>
    <w:rsid w:val="00C759B3"/>
    <w:rsid w:val="00C75ACF"/>
    <w:rsid w:val="00C75E65"/>
    <w:rsid w:val="00C75F2F"/>
    <w:rsid w:val="00C75FEE"/>
    <w:rsid w:val="00C76150"/>
    <w:rsid w:val="00C7656D"/>
    <w:rsid w:val="00C76640"/>
    <w:rsid w:val="00C7694F"/>
    <w:rsid w:val="00C769FA"/>
    <w:rsid w:val="00C76AAB"/>
    <w:rsid w:val="00C76F1D"/>
    <w:rsid w:val="00C76FDC"/>
    <w:rsid w:val="00C773AD"/>
    <w:rsid w:val="00C77409"/>
    <w:rsid w:val="00C77937"/>
    <w:rsid w:val="00C77C84"/>
    <w:rsid w:val="00C77CA4"/>
    <w:rsid w:val="00C77CF1"/>
    <w:rsid w:val="00C77D26"/>
    <w:rsid w:val="00C77D91"/>
    <w:rsid w:val="00C77F0A"/>
    <w:rsid w:val="00C80152"/>
    <w:rsid w:val="00C8041E"/>
    <w:rsid w:val="00C80996"/>
    <w:rsid w:val="00C80AB6"/>
    <w:rsid w:val="00C80BDF"/>
    <w:rsid w:val="00C80DB8"/>
    <w:rsid w:val="00C80EC3"/>
    <w:rsid w:val="00C80ECB"/>
    <w:rsid w:val="00C813A1"/>
    <w:rsid w:val="00C814C0"/>
    <w:rsid w:val="00C81516"/>
    <w:rsid w:val="00C815DF"/>
    <w:rsid w:val="00C81742"/>
    <w:rsid w:val="00C81819"/>
    <w:rsid w:val="00C81A64"/>
    <w:rsid w:val="00C81CC7"/>
    <w:rsid w:val="00C82134"/>
    <w:rsid w:val="00C82322"/>
    <w:rsid w:val="00C82634"/>
    <w:rsid w:val="00C82781"/>
    <w:rsid w:val="00C82936"/>
    <w:rsid w:val="00C82996"/>
    <w:rsid w:val="00C82FEE"/>
    <w:rsid w:val="00C831A6"/>
    <w:rsid w:val="00C831C4"/>
    <w:rsid w:val="00C8348E"/>
    <w:rsid w:val="00C83685"/>
    <w:rsid w:val="00C836CB"/>
    <w:rsid w:val="00C83880"/>
    <w:rsid w:val="00C83BD3"/>
    <w:rsid w:val="00C8430F"/>
    <w:rsid w:val="00C8431E"/>
    <w:rsid w:val="00C848EA"/>
    <w:rsid w:val="00C849EE"/>
    <w:rsid w:val="00C84D39"/>
    <w:rsid w:val="00C85144"/>
    <w:rsid w:val="00C851E2"/>
    <w:rsid w:val="00C85277"/>
    <w:rsid w:val="00C85485"/>
    <w:rsid w:val="00C85713"/>
    <w:rsid w:val="00C857B5"/>
    <w:rsid w:val="00C85806"/>
    <w:rsid w:val="00C85A3A"/>
    <w:rsid w:val="00C85D76"/>
    <w:rsid w:val="00C85E0C"/>
    <w:rsid w:val="00C8600D"/>
    <w:rsid w:val="00C8619B"/>
    <w:rsid w:val="00C8643B"/>
    <w:rsid w:val="00C87071"/>
    <w:rsid w:val="00C87322"/>
    <w:rsid w:val="00C8738A"/>
    <w:rsid w:val="00C873AC"/>
    <w:rsid w:val="00C87816"/>
    <w:rsid w:val="00C87C1B"/>
    <w:rsid w:val="00C87DA6"/>
    <w:rsid w:val="00C87DB2"/>
    <w:rsid w:val="00C87DD4"/>
    <w:rsid w:val="00C900CF"/>
    <w:rsid w:val="00C9045A"/>
    <w:rsid w:val="00C906D2"/>
    <w:rsid w:val="00C90E87"/>
    <w:rsid w:val="00C91719"/>
    <w:rsid w:val="00C91857"/>
    <w:rsid w:val="00C918CF"/>
    <w:rsid w:val="00C91AFB"/>
    <w:rsid w:val="00C91B66"/>
    <w:rsid w:val="00C91CCC"/>
    <w:rsid w:val="00C91E5D"/>
    <w:rsid w:val="00C91F6C"/>
    <w:rsid w:val="00C9213B"/>
    <w:rsid w:val="00C92292"/>
    <w:rsid w:val="00C9235C"/>
    <w:rsid w:val="00C9247B"/>
    <w:rsid w:val="00C924C4"/>
    <w:rsid w:val="00C9272C"/>
    <w:rsid w:val="00C9298F"/>
    <w:rsid w:val="00C92A57"/>
    <w:rsid w:val="00C93256"/>
    <w:rsid w:val="00C9333E"/>
    <w:rsid w:val="00C93462"/>
    <w:rsid w:val="00C934B5"/>
    <w:rsid w:val="00C934DA"/>
    <w:rsid w:val="00C9382A"/>
    <w:rsid w:val="00C93A6D"/>
    <w:rsid w:val="00C94384"/>
    <w:rsid w:val="00C94A34"/>
    <w:rsid w:val="00C94BD5"/>
    <w:rsid w:val="00C94C2B"/>
    <w:rsid w:val="00C94CE7"/>
    <w:rsid w:val="00C94F73"/>
    <w:rsid w:val="00C9507D"/>
    <w:rsid w:val="00C9529E"/>
    <w:rsid w:val="00C95609"/>
    <w:rsid w:val="00C95684"/>
    <w:rsid w:val="00C959D4"/>
    <w:rsid w:val="00C95D53"/>
    <w:rsid w:val="00C95DBC"/>
    <w:rsid w:val="00C969A8"/>
    <w:rsid w:val="00C96A7F"/>
    <w:rsid w:val="00C96B97"/>
    <w:rsid w:val="00C96C15"/>
    <w:rsid w:val="00C96F79"/>
    <w:rsid w:val="00C974C2"/>
    <w:rsid w:val="00C97721"/>
    <w:rsid w:val="00C977D9"/>
    <w:rsid w:val="00C978C8"/>
    <w:rsid w:val="00C97920"/>
    <w:rsid w:val="00C97CF9"/>
    <w:rsid w:val="00C97E4C"/>
    <w:rsid w:val="00C97EB8"/>
    <w:rsid w:val="00C97F00"/>
    <w:rsid w:val="00CA00E9"/>
    <w:rsid w:val="00CA01FA"/>
    <w:rsid w:val="00CA055B"/>
    <w:rsid w:val="00CA068B"/>
    <w:rsid w:val="00CA094B"/>
    <w:rsid w:val="00CA0D1A"/>
    <w:rsid w:val="00CA0EC2"/>
    <w:rsid w:val="00CA11D7"/>
    <w:rsid w:val="00CA17DD"/>
    <w:rsid w:val="00CA1840"/>
    <w:rsid w:val="00CA1863"/>
    <w:rsid w:val="00CA1941"/>
    <w:rsid w:val="00CA1AAA"/>
    <w:rsid w:val="00CA1CA9"/>
    <w:rsid w:val="00CA1D2D"/>
    <w:rsid w:val="00CA1D2F"/>
    <w:rsid w:val="00CA23A3"/>
    <w:rsid w:val="00CA26CE"/>
    <w:rsid w:val="00CA29A6"/>
    <w:rsid w:val="00CA2D02"/>
    <w:rsid w:val="00CA2D48"/>
    <w:rsid w:val="00CA2D93"/>
    <w:rsid w:val="00CA2DA0"/>
    <w:rsid w:val="00CA300D"/>
    <w:rsid w:val="00CA33EE"/>
    <w:rsid w:val="00CA3564"/>
    <w:rsid w:val="00CA35E8"/>
    <w:rsid w:val="00CA391D"/>
    <w:rsid w:val="00CA3ACD"/>
    <w:rsid w:val="00CA3BE8"/>
    <w:rsid w:val="00CA3C02"/>
    <w:rsid w:val="00CA3D8D"/>
    <w:rsid w:val="00CA4211"/>
    <w:rsid w:val="00CA4E61"/>
    <w:rsid w:val="00CA4E79"/>
    <w:rsid w:val="00CA4F8B"/>
    <w:rsid w:val="00CA5445"/>
    <w:rsid w:val="00CA5465"/>
    <w:rsid w:val="00CA5505"/>
    <w:rsid w:val="00CA5EA8"/>
    <w:rsid w:val="00CA5F61"/>
    <w:rsid w:val="00CA620F"/>
    <w:rsid w:val="00CA6416"/>
    <w:rsid w:val="00CA6AB5"/>
    <w:rsid w:val="00CA7563"/>
    <w:rsid w:val="00CA770B"/>
    <w:rsid w:val="00CA7C88"/>
    <w:rsid w:val="00CA7E7C"/>
    <w:rsid w:val="00CB0007"/>
    <w:rsid w:val="00CB00AD"/>
    <w:rsid w:val="00CB03BD"/>
    <w:rsid w:val="00CB0637"/>
    <w:rsid w:val="00CB09DA"/>
    <w:rsid w:val="00CB0A35"/>
    <w:rsid w:val="00CB0BD9"/>
    <w:rsid w:val="00CB0ED3"/>
    <w:rsid w:val="00CB125C"/>
    <w:rsid w:val="00CB12AD"/>
    <w:rsid w:val="00CB17E5"/>
    <w:rsid w:val="00CB1CAC"/>
    <w:rsid w:val="00CB1DE8"/>
    <w:rsid w:val="00CB1E3B"/>
    <w:rsid w:val="00CB1F1D"/>
    <w:rsid w:val="00CB20C4"/>
    <w:rsid w:val="00CB31F3"/>
    <w:rsid w:val="00CB35F3"/>
    <w:rsid w:val="00CB38CD"/>
    <w:rsid w:val="00CB3C3B"/>
    <w:rsid w:val="00CB3CB5"/>
    <w:rsid w:val="00CB40C9"/>
    <w:rsid w:val="00CB4282"/>
    <w:rsid w:val="00CB4390"/>
    <w:rsid w:val="00CB4605"/>
    <w:rsid w:val="00CB47A4"/>
    <w:rsid w:val="00CB4914"/>
    <w:rsid w:val="00CB4A0B"/>
    <w:rsid w:val="00CB4AF9"/>
    <w:rsid w:val="00CB4C2B"/>
    <w:rsid w:val="00CB51F9"/>
    <w:rsid w:val="00CB52D2"/>
    <w:rsid w:val="00CB52DE"/>
    <w:rsid w:val="00CB5832"/>
    <w:rsid w:val="00CB5D8F"/>
    <w:rsid w:val="00CB5F85"/>
    <w:rsid w:val="00CB6042"/>
    <w:rsid w:val="00CB65F9"/>
    <w:rsid w:val="00CB6795"/>
    <w:rsid w:val="00CB6A14"/>
    <w:rsid w:val="00CB6A62"/>
    <w:rsid w:val="00CB6AA9"/>
    <w:rsid w:val="00CB6B83"/>
    <w:rsid w:val="00CB6BD2"/>
    <w:rsid w:val="00CB71F8"/>
    <w:rsid w:val="00CB7312"/>
    <w:rsid w:val="00CB74FD"/>
    <w:rsid w:val="00CB7718"/>
    <w:rsid w:val="00CB7B56"/>
    <w:rsid w:val="00CB7E16"/>
    <w:rsid w:val="00CB7F6F"/>
    <w:rsid w:val="00CC00C8"/>
    <w:rsid w:val="00CC027F"/>
    <w:rsid w:val="00CC0C74"/>
    <w:rsid w:val="00CC1411"/>
    <w:rsid w:val="00CC180A"/>
    <w:rsid w:val="00CC195B"/>
    <w:rsid w:val="00CC209D"/>
    <w:rsid w:val="00CC22FC"/>
    <w:rsid w:val="00CC26DB"/>
    <w:rsid w:val="00CC26FB"/>
    <w:rsid w:val="00CC284A"/>
    <w:rsid w:val="00CC29C0"/>
    <w:rsid w:val="00CC300C"/>
    <w:rsid w:val="00CC312D"/>
    <w:rsid w:val="00CC34DB"/>
    <w:rsid w:val="00CC34F5"/>
    <w:rsid w:val="00CC35AE"/>
    <w:rsid w:val="00CC3690"/>
    <w:rsid w:val="00CC36EA"/>
    <w:rsid w:val="00CC3B76"/>
    <w:rsid w:val="00CC3DAA"/>
    <w:rsid w:val="00CC4213"/>
    <w:rsid w:val="00CC42B3"/>
    <w:rsid w:val="00CC4516"/>
    <w:rsid w:val="00CC471B"/>
    <w:rsid w:val="00CC4808"/>
    <w:rsid w:val="00CC4C2C"/>
    <w:rsid w:val="00CC4C5E"/>
    <w:rsid w:val="00CC4F1D"/>
    <w:rsid w:val="00CC4FA8"/>
    <w:rsid w:val="00CC5057"/>
    <w:rsid w:val="00CC5198"/>
    <w:rsid w:val="00CC524D"/>
    <w:rsid w:val="00CC5C16"/>
    <w:rsid w:val="00CC5D07"/>
    <w:rsid w:val="00CC62CF"/>
    <w:rsid w:val="00CC6318"/>
    <w:rsid w:val="00CC64F9"/>
    <w:rsid w:val="00CC6AD5"/>
    <w:rsid w:val="00CC6DBF"/>
    <w:rsid w:val="00CC6E47"/>
    <w:rsid w:val="00CC7074"/>
    <w:rsid w:val="00CC738B"/>
    <w:rsid w:val="00CC7851"/>
    <w:rsid w:val="00CC7890"/>
    <w:rsid w:val="00CC79CA"/>
    <w:rsid w:val="00CC7A92"/>
    <w:rsid w:val="00CC7AE7"/>
    <w:rsid w:val="00CC7F61"/>
    <w:rsid w:val="00CD078F"/>
    <w:rsid w:val="00CD07E3"/>
    <w:rsid w:val="00CD08BA"/>
    <w:rsid w:val="00CD0CD7"/>
    <w:rsid w:val="00CD0E4B"/>
    <w:rsid w:val="00CD121E"/>
    <w:rsid w:val="00CD185D"/>
    <w:rsid w:val="00CD188F"/>
    <w:rsid w:val="00CD1BC2"/>
    <w:rsid w:val="00CD1D01"/>
    <w:rsid w:val="00CD1DF1"/>
    <w:rsid w:val="00CD274F"/>
    <w:rsid w:val="00CD285F"/>
    <w:rsid w:val="00CD28F0"/>
    <w:rsid w:val="00CD2A1B"/>
    <w:rsid w:val="00CD2B3B"/>
    <w:rsid w:val="00CD2F50"/>
    <w:rsid w:val="00CD3184"/>
    <w:rsid w:val="00CD3416"/>
    <w:rsid w:val="00CD349B"/>
    <w:rsid w:val="00CD3537"/>
    <w:rsid w:val="00CD36A0"/>
    <w:rsid w:val="00CD37FE"/>
    <w:rsid w:val="00CD3879"/>
    <w:rsid w:val="00CD3DE0"/>
    <w:rsid w:val="00CD3ED8"/>
    <w:rsid w:val="00CD47B3"/>
    <w:rsid w:val="00CD4899"/>
    <w:rsid w:val="00CD4932"/>
    <w:rsid w:val="00CD497A"/>
    <w:rsid w:val="00CD50A1"/>
    <w:rsid w:val="00CD5803"/>
    <w:rsid w:val="00CD5F63"/>
    <w:rsid w:val="00CD5F9D"/>
    <w:rsid w:val="00CD5FE1"/>
    <w:rsid w:val="00CD62BF"/>
    <w:rsid w:val="00CD63DF"/>
    <w:rsid w:val="00CD6598"/>
    <w:rsid w:val="00CD673E"/>
    <w:rsid w:val="00CD6CD8"/>
    <w:rsid w:val="00CD71B5"/>
    <w:rsid w:val="00CD739E"/>
    <w:rsid w:val="00CD761D"/>
    <w:rsid w:val="00CD76B5"/>
    <w:rsid w:val="00CD78B9"/>
    <w:rsid w:val="00CDB781"/>
    <w:rsid w:val="00CE06A3"/>
    <w:rsid w:val="00CE1481"/>
    <w:rsid w:val="00CE15FD"/>
    <w:rsid w:val="00CE16EF"/>
    <w:rsid w:val="00CE1A9C"/>
    <w:rsid w:val="00CE1D01"/>
    <w:rsid w:val="00CE2323"/>
    <w:rsid w:val="00CE2346"/>
    <w:rsid w:val="00CE2652"/>
    <w:rsid w:val="00CE26F2"/>
    <w:rsid w:val="00CE2BB8"/>
    <w:rsid w:val="00CE2DB7"/>
    <w:rsid w:val="00CE2EBF"/>
    <w:rsid w:val="00CE2F19"/>
    <w:rsid w:val="00CE2F77"/>
    <w:rsid w:val="00CE32CA"/>
    <w:rsid w:val="00CE35BE"/>
    <w:rsid w:val="00CE37FA"/>
    <w:rsid w:val="00CE46C6"/>
    <w:rsid w:val="00CE4C8E"/>
    <w:rsid w:val="00CE4F66"/>
    <w:rsid w:val="00CE5340"/>
    <w:rsid w:val="00CE53BB"/>
    <w:rsid w:val="00CE610F"/>
    <w:rsid w:val="00CE61E9"/>
    <w:rsid w:val="00CE622C"/>
    <w:rsid w:val="00CE63AE"/>
    <w:rsid w:val="00CE6A4F"/>
    <w:rsid w:val="00CE6D55"/>
    <w:rsid w:val="00CE6E7F"/>
    <w:rsid w:val="00CE6E90"/>
    <w:rsid w:val="00CE6F0F"/>
    <w:rsid w:val="00CE73B0"/>
    <w:rsid w:val="00CE77C2"/>
    <w:rsid w:val="00CE7A04"/>
    <w:rsid w:val="00CE7A3E"/>
    <w:rsid w:val="00CF002F"/>
    <w:rsid w:val="00CF0246"/>
    <w:rsid w:val="00CF04B7"/>
    <w:rsid w:val="00CF09D8"/>
    <w:rsid w:val="00CF0BC6"/>
    <w:rsid w:val="00CF0D91"/>
    <w:rsid w:val="00CF0DD4"/>
    <w:rsid w:val="00CF0E91"/>
    <w:rsid w:val="00CF162C"/>
    <w:rsid w:val="00CF1A6B"/>
    <w:rsid w:val="00CF1E5C"/>
    <w:rsid w:val="00CF1EBC"/>
    <w:rsid w:val="00CF2319"/>
    <w:rsid w:val="00CF2483"/>
    <w:rsid w:val="00CF24E2"/>
    <w:rsid w:val="00CF250C"/>
    <w:rsid w:val="00CF253E"/>
    <w:rsid w:val="00CF2642"/>
    <w:rsid w:val="00CF26C9"/>
    <w:rsid w:val="00CF3576"/>
    <w:rsid w:val="00CF393D"/>
    <w:rsid w:val="00CF39D9"/>
    <w:rsid w:val="00CF4496"/>
    <w:rsid w:val="00CF44A0"/>
    <w:rsid w:val="00CF4ABD"/>
    <w:rsid w:val="00CF4CF2"/>
    <w:rsid w:val="00CF4DC1"/>
    <w:rsid w:val="00CF4E1D"/>
    <w:rsid w:val="00CF53F6"/>
    <w:rsid w:val="00CF540D"/>
    <w:rsid w:val="00CF570F"/>
    <w:rsid w:val="00CF5769"/>
    <w:rsid w:val="00CF5A16"/>
    <w:rsid w:val="00CF5A53"/>
    <w:rsid w:val="00CF5CCB"/>
    <w:rsid w:val="00CF5D28"/>
    <w:rsid w:val="00CF5F93"/>
    <w:rsid w:val="00CF6059"/>
    <w:rsid w:val="00CF6311"/>
    <w:rsid w:val="00CF6334"/>
    <w:rsid w:val="00CF68B8"/>
    <w:rsid w:val="00CF6B67"/>
    <w:rsid w:val="00CF6E99"/>
    <w:rsid w:val="00CF6EAD"/>
    <w:rsid w:val="00CF6ECF"/>
    <w:rsid w:val="00CF6F1D"/>
    <w:rsid w:val="00CF6F1E"/>
    <w:rsid w:val="00CF6F3A"/>
    <w:rsid w:val="00CF7196"/>
    <w:rsid w:val="00CF7ADE"/>
    <w:rsid w:val="00CF7DDE"/>
    <w:rsid w:val="00CF7FD0"/>
    <w:rsid w:val="00D00145"/>
    <w:rsid w:val="00D001F9"/>
    <w:rsid w:val="00D0036E"/>
    <w:rsid w:val="00D0086A"/>
    <w:rsid w:val="00D00AD1"/>
    <w:rsid w:val="00D00BB7"/>
    <w:rsid w:val="00D00EE6"/>
    <w:rsid w:val="00D00F13"/>
    <w:rsid w:val="00D01720"/>
    <w:rsid w:val="00D019A6"/>
    <w:rsid w:val="00D01EAD"/>
    <w:rsid w:val="00D01F3A"/>
    <w:rsid w:val="00D02880"/>
    <w:rsid w:val="00D02EB0"/>
    <w:rsid w:val="00D035B9"/>
    <w:rsid w:val="00D040B7"/>
    <w:rsid w:val="00D043C7"/>
    <w:rsid w:val="00D0454B"/>
    <w:rsid w:val="00D0486B"/>
    <w:rsid w:val="00D04933"/>
    <w:rsid w:val="00D049F4"/>
    <w:rsid w:val="00D04EDB"/>
    <w:rsid w:val="00D04F82"/>
    <w:rsid w:val="00D04FE7"/>
    <w:rsid w:val="00D050B7"/>
    <w:rsid w:val="00D05238"/>
    <w:rsid w:val="00D056DE"/>
    <w:rsid w:val="00D059A1"/>
    <w:rsid w:val="00D05F15"/>
    <w:rsid w:val="00D05FF7"/>
    <w:rsid w:val="00D060FF"/>
    <w:rsid w:val="00D064E8"/>
    <w:rsid w:val="00D06546"/>
    <w:rsid w:val="00D06572"/>
    <w:rsid w:val="00D065CD"/>
    <w:rsid w:val="00D06EFC"/>
    <w:rsid w:val="00D0724B"/>
    <w:rsid w:val="00D07565"/>
    <w:rsid w:val="00D075AA"/>
    <w:rsid w:val="00D07610"/>
    <w:rsid w:val="00D07720"/>
    <w:rsid w:val="00D0791A"/>
    <w:rsid w:val="00D07C0C"/>
    <w:rsid w:val="00D07CBE"/>
    <w:rsid w:val="00D10270"/>
    <w:rsid w:val="00D10469"/>
    <w:rsid w:val="00D106E0"/>
    <w:rsid w:val="00D1089C"/>
    <w:rsid w:val="00D10A5F"/>
    <w:rsid w:val="00D10BAA"/>
    <w:rsid w:val="00D10EBD"/>
    <w:rsid w:val="00D11078"/>
    <w:rsid w:val="00D11080"/>
    <w:rsid w:val="00D112FD"/>
    <w:rsid w:val="00D116E8"/>
    <w:rsid w:val="00D1199D"/>
    <w:rsid w:val="00D11B97"/>
    <w:rsid w:val="00D120C7"/>
    <w:rsid w:val="00D1218C"/>
    <w:rsid w:val="00D12325"/>
    <w:rsid w:val="00D1246B"/>
    <w:rsid w:val="00D12761"/>
    <w:rsid w:val="00D12F85"/>
    <w:rsid w:val="00D130DF"/>
    <w:rsid w:val="00D13108"/>
    <w:rsid w:val="00D13519"/>
    <w:rsid w:val="00D136CB"/>
    <w:rsid w:val="00D13824"/>
    <w:rsid w:val="00D13BC7"/>
    <w:rsid w:val="00D140EF"/>
    <w:rsid w:val="00D14163"/>
    <w:rsid w:val="00D14487"/>
    <w:rsid w:val="00D14499"/>
    <w:rsid w:val="00D1485A"/>
    <w:rsid w:val="00D148A9"/>
    <w:rsid w:val="00D149D5"/>
    <w:rsid w:val="00D14A3A"/>
    <w:rsid w:val="00D14A7D"/>
    <w:rsid w:val="00D14B93"/>
    <w:rsid w:val="00D14DE3"/>
    <w:rsid w:val="00D1527A"/>
    <w:rsid w:val="00D15283"/>
    <w:rsid w:val="00D152B6"/>
    <w:rsid w:val="00D158A6"/>
    <w:rsid w:val="00D15D1C"/>
    <w:rsid w:val="00D15D63"/>
    <w:rsid w:val="00D15E7E"/>
    <w:rsid w:val="00D15EB4"/>
    <w:rsid w:val="00D15F9D"/>
    <w:rsid w:val="00D16058"/>
    <w:rsid w:val="00D1611A"/>
    <w:rsid w:val="00D16154"/>
    <w:rsid w:val="00D16362"/>
    <w:rsid w:val="00D16876"/>
    <w:rsid w:val="00D16FC8"/>
    <w:rsid w:val="00D16FDD"/>
    <w:rsid w:val="00D17584"/>
    <w:rsid w:val="00D1772A"/>
    <w:rsid w:val="00D1784B"/>
    <w:rsid w:val="00D20016"/>
    <w:rsid w:val="00D2029A"/>
    <w:rsid w:val="00D20324"/>
    <w:rsid w:val="00D20421"/>
    <w:rsid w:val="00D204B7"/>
    <w:rsid w:val="00D207A7"/>
    <w:rsid w:val="00D20998"/>
    <w:rsid w:val="00D20A85"/>
    <w:rsid w:val="00D20C2D"/>
    <w:rsid w:val="00D20D04"/>
    <w:rsid w:val="00D2105B"/>
    <w:rsid w:val="00D21281"/>
    <w:rsid w:val="00D21416"/>
    <w:rsid w:val="00D21702"/>
    <w:rsid w:val="00D21BF6"/>
    <w:rsid w:val="00D21CDE"/>
    <w:rsid w:val="00D21FA2"/>
    <w:rsid w:val="00D220E0"/>
    <w:rsid w:val="00D2279F"/>
    <w:rsid w:val="00D22AF1"/>
    <w:rsid w:val="00D22BA2"/>
    <w:rsid w:val="00D22BF2"/>
    <w:rsid w:val="00D22DB8"/>
    <w:rsid w:val="00D22DE0"/>
    <w:rsid w:val="00D22E93"/>
    <w:rsid w:val="00D232F3"/>
    <w:rsid w:val="00D235C2"/>
    <w:rsid w:val="00D23665"/>
    <w:rsid w:val="00D2382C"/>
    <w:rsid w:val="00D242DA"/>
    <w:rsid w:val="00D24315"/>
    <w:rsid w:val="00D245C1"/>
    <w:rsid w:val="00D247EC"/>
    <w:rsid w:val="00D24959"/>
    <w:rsid w:val="00D249C1"/>
    <w:rsid w:val="00D24D5A"/>
    <w:rsid w:val="00D24F9B"/>
    <w:rsid w:val="00D25720"/>
    <w:rsid w:val="00D25B86"/>
    <w:rsid w:val="00D25DBA"/>
    <w:rsid w:val="00D261B0"/>
    <w:rsid w:val="00D26448"/>
    <w:rsid w:val="00D264CE"/>
    <w:rsid w:val="00D26670"/>
    <w:rsid w:val="00D2670E"/>
    <w:rsid w:val="00D2676A"/>
    <w:rsid w:val="00D26910"/>
    <w:rsid w:val="00D27101"/>
    <w:rsid w:val="00D27225"/>
    <w:rsid w:val="00D2747C"/>
    <w:rsid w:val="00D27910"/>
    <w:rsid w:val="00D27B8B"/>
    <w:rsid w:val="00D27CA1"/>
    <w:rsid w:val="00D27CB7"/>
    <w:rsid w:val="00D27DF4"/>
    <w:rsid w:val="00D3047E"/>
    <w:rsid w:val="00D307EA"/>
    <w:rsid w:val="00D30877"/>
    <w:rsid w:val="00D30CF0"/>
    <w:rsid w:val="00D30F70"/>
    <w:rsid w:val="00D31427"/>
    <w:rsid w:val="00D31681"/>
    <w:rsid w:val="00D3191C"/>
    <w:rsid w:val="00D31B6E"/>
    <w:rsid w:val="00D32322"/>
    <w:rsid w:val="00D3232B"/>
    <w:rsid w:val="00D3239F"/>
    <w:rsid w:val="00D324A4"/>
    <w:rsid w:val="00D3250C"/>
    <w:rsid w:val="00D328F6"/>
    <w:rsid w:val="00D32B4B"/>
    <w:rsid w:val="00D32B4D"/>
    <w:rsid w:val="00D330B3"/>
    <w:rsid w:val="00D3337B"/>
    <w:rsid w:val="00D333D8"/>
    <w:rsid w:val="00D337F4"/>
    <w:rsid w:val="00D33CA3"/>
    <w:rsid w:val="00D340F8"/>
    <w:rsid w:val="00D341C7"/>
    <w:rsid w:val="00D3439D"/>
    <w:rsid w:val="00D345D4"/>
    <w:rsid w:val="00D3462C"/>
    <w:rsid w:val="00D348FE"/>
    <w:rsid w:val="00D34CF2"/>
    <w:rsid w:val="00D34DEB"/>
    <w:rsid w:val="00D350FA"/>
    <w:rsid w:val="00D3512C"/>
    <w:rsid w:val="00D35198"/>
    <w:rsid w:val="00D35324"/>
    <w:rsid w:val="00D35397"/>
    <w:rsid w:val="00D353FE"/>
    <w:rsid w:val="00D35490"/>
    <w:rsid w:val="00D3584B"/>
    <w:rsid w:val="00D35908"/>
    <w:rsid w:val="00D35A3C"/>
    <w:rsid w:val="00D35A85"/>
    <w:rsid w:val="00D35BBB"/>
    <w:rsid w:val="00D35EE8"/>
    <w:rsid w:val="00D35F43"/>
    <w:rsid w:val="00D35F97"/>
    <w:rsid w:val="00D35FB4"/>
    <w:rsid w:val="00D36302"/>
    <w:rsid w:val="00D36354"/>
    <w:rsid w:val="00D36964"/>
    <w:rsid w:val="00D36B2E"/>
    <w:rsid w:val="00D37075"/>
    <w:rsid w:val="00D370A8"/>
    <w:rsid w:val="00D37803"/>
    <w:rsid w:val="00D37920"/>
    <w:rsid w:val="00D37A1A"/>
    <w:rsid w:val="00D37F3C"/>
    <w:rsid w:val="00D404F0"/>
    <w:rsid w:val="00D406D3"/>
    <w:rsid w:val="00D4081B"/>
    <w:rsid w:val="00D40962"/>
    <w:rsid w:val="00D40E1A"/>
    <w:rsid w:val="00D413C3"/>
    <w:rsid w:val="00D41470"/>
    <w:rsid w:val="00D4176A"/>
    <w:rsid w:val="00D41D99"/>
    <w:rsid w:val="00D41E43"/>
    <w:rsid w:val="00D420B9"/>
    <w:rsid w:val="00D4220C"/>
    <w:rsid w:val="00D42240"/>
    <w:rsid w:val="00D426F9"/>
    <w:rsid w:val="00D427C3"/>
    <w:rsid w:val="00D42998"/>
    <w:rsid w:val="00D42A49"/>
    <w:rsid w:val="00D42B13"/>
    <w:rsid w:val="00D42C9D"/>
    <w:rsid w:val="00D42CE6"/>
    <w:rsid w:val="00D42E0A"/>
    <w:rsid w:val="00D42EB8"/>
    <w:rsid w:val="00D432EC"/>
    <w:rsid w:val="00D4399F"/>
    <w:rsid w:val="00D43D3C"/>
    <w:rsid w:val="00D43D56"/>
    <w:rsid w:val="00D43D8B"/>
    <w:rsid w:val="00D43E0B"/>
    <w:rsid w:val="00D43E7F"/>
    <w:rsid w:val="00D43F5D"/>
    <w:rsid w:val="00D4400E"/>
    <w:rsid w:val="00D441E2"/>
    <w:rsid w:val="00D44270"/>
    <w:rsid w:val="00D447E2"/>
    <w:rsid w:val="00D44932"/>
    <w:rsid w:val="00D44961"/>
    <w:rsid w:val="00D44A13"/>
    <w:rsid w:val="00D45227"/>
    <w:rsid w:val="00D45C85"/>
    <w:rsid w:val="00D45E24"/>
    <w:rsid w:val="00D45F76"/>
    <w:rsid w:val="00D46111"/>
    <w:rsid w:val="00D4662F"/>
    <w:rsid w:val="00D466E3"/>
    <w:rsid w:val="00D4685C"/>
    <w:rsid w:val="00D46876"/>
    <w:rsid w:val="00D468EF"/>
    <w:rsid w:val="00D469BB"/>
    <w:rsid w:val="00D46A4D"/>
    <w:rsid w:val="00D46D57"/>
    <w:rsid w:val="00D46F1B"/>
    <w:rsid w:val="00D46F22"/>
    <w:rsid w:val="00D46FBD"/>
    <w:rsid w:val="00D475FB"/>
    <w:rsid w:val="00D47C16"/>
    <w:rsid w:val="00D502AF"/>
    <w:rsid w:val="00D50546"/>
    <w:rsid w:val="00D50764"/>
    <w:rsid w:val="00D508BE"/>
    <w:rsid w:val="00D50BA9"/>
    <w:rsid w:val="00D50BB1"/>
    <w:rsid w:val="00D50C12"/>
    <w:rsid w:val="00D50F2E"/>
    <w:rsid w:val="00D51034"/>
    <w:rsid w:val="00D5107B"/>
    <w:rsid w:val="00D510B9"/>
    <w:rsid w:val="00D514A9"/>
    <w:rsid w:val="00D516C1"/>
    <w:rsid w:val="00D51A77"/>
    <w:rsid w:val="00D51D22"/>
    <w:rsid w:val="00D5267B"/>
    <w:rsid w:val="00D52B1C"/>
    <w:rsid w:val="00D52B61"/>
    <w:rsid w:val="00D52D23"/>
    <w:rsid w:val="00D52E8C"/>
    <w:rsid w:val="00D533D5"/>
    <w:rsid w:val="00D53649"/>
    <w:rsid w:val="00D537EE"/>
    <w:rsid w:val="00D53830"/>
    <w:rsid w:val="00D53CAC"/>
    <w:rsid w:val="00D53F94"/>
    <w:rsid w:val="00D54089"/>
    <w:rsid w:val="00D5481E"/>
    <w:rsid w:val="00D54EEC"/>
    <w:rsid w:val="00D54FB3"/>
    <w:rsid w:val="00D5540B"/>
    <w:rsid w:val="00D55889"/>
    <w:rsid w:val="00D5592A"/>
    <w:rsid w:val="00D55D3E"/>
    <w:rsid w:val="00D560A1"/>
    <w:rsid w:val="00D5649A"/>
    <w:rsid w:val="00D56B5F"/>
    <w:rsid w:val="00D571CD"/>
    <w:rsid w:val="00D57244"/>
    <w:rsid w:val="00D576CE"/>
    <w:rsid w:val="00D5786E"/>
    <w:rsid w:val="00D57A3F"/>
    <w:rsid w:val="00D57AF0"/>
    <w:rsid w:val="00D57BEE"/>
    <w:rsid w:val="00D57E00"/>
    <w:rsid w:val="00D602B0"/>
    <w:rsid w:val="00D607AC"/>
    <w:rsid w:val="00D60977"/>
    <w:rsid w:val="00D60EEC"/>
    <w:rsid w:val="00D60F19"/>
    <w:rsid w:val="00D60FE6"/>
    <w:rsid w:val="00D61239"/>
    <w:rsid w:val="00D613E5"/>
    <w:rsid w:val="00D61815"/>
    <w:rsid w:val="00D6181A"/>
    <w:rsid w:val="00D61B77"/>
    <w:rsid w:val="00D6223A"/>
    <w:rsid w:val="00D623EA"/>
    <w:rsid w:val="00D6240D"/>
    <w:rsid w:val="00D624D1"/>
    <w:rsid w:val="00D6258D"/>
    <w:rsid w:val="00D627E3"/>
    <w:rsid w:val="00D62C33"/>
    <w:rsid w:val="00D62ECD"/>
    <w:rsid w:val="00D630BE"/>
    <w:rsid w:val="00D638C9"/>
    <w:rsid w:val="00D63DAC"/>
    <w:rsid w:val="00D640A5"/>
    <w:rsid w:val="00D64426"/>
    <w:rsid w:val="00D6443A"/>
    <w:rsid w:val="00D64475"/>
    <w:rsid w:val="00D64A2A"/>
    <w:rsid w:val="00D64A2D"/>
    <w:rsid w:val="00D65C05"/>
    <w:rsid w:val="00D65D78"/>
    <w:rsid w:val="00D65F25"/>
    <w:rsid w:val="00D667E0"/>
    <w:rsid w:val="00D66991"/>
    <w:rsid w:val="00D66AAA"/>
    <w:rsid w:val="00D66B04"/>
    <w:rsid w:val="00D66CFD"/>
    <w:rsid w:val="00D66DF8"/>
    <w:rsid w:val="00D66DFE"/>
    <w:rsid w:val="00D67B9B"/>
    <w:rsid w:val="00D67BC5"/>
    <w:rsid w:val="00D67E4A"/>
    <w:rsid w:val="00D7021B"/>
    <w:rsid w:val="00D70316"/>
    <w:rsid w:val="00D70409"/>
    <w:rsid w:val="00D70CF6"/>
    <w:rsid w:val="00D70D33"/>
    <w:rsid w:val="00D70E17"/>
    <w:rsid w:val="00D7117B"/>
    <w:rsid w:val="00D71862"/>
    <w:rsid w:val="00D71985"/>
    <w:rsid w:val="00D71D70"/>
    <w:rsid w:val="00D71E7F"/>
    <w:rsid w:val="00D71F38"/>
    <w:rsid w:val="00D71FBA"/>
    <w:rsid w:val="00D7239B"/>
    <w:rsid w:val="00D726A0"/>
    <w:rsid w:val="00D72C70"/>
    <w:rsid w:val="00D73077"/>
    <w:rsid w:val="00D736A2"/>
    <w:rsid w:val="00D73C57"/>
    <w:rsid w:val="00D741B8"/>
    <w:rsid w:val="00D742FF"/>
    <w:rsid w:val="00D74832"/>
    <w:rsid w:val="00D74BB8"/>
    <w:rsid w:val="00D74D80"/>
    <w:rsid w:val="00D7502C"/>
    <w:rsid w:val="00D75513"/>
    <w:rsid w:val="00D758B3"/>
    <w:rsid w:val="00D758B6"/>
    <w:rsid w:val="00D758C1"/>
    <w:rsid w:val="00D75C55"/>
    <w:rsid w:val="00D75F9A"/>
    <w:rsid w:val="00D76308"/>
    <w:rsid w:val="00D7631C"/>
    <w:rsid w:val="00D76561"/>
    <w:rsid w:val="00D76ADC"/>
    <w:rsid w:val="00D76F29"/>
    <w:rsid w:val="00D76F37"/>
    <w:rsid w:val="00D77413"/>
    <w:rsid w:val="00D77BDC"/>
    <w:rsid w:val="00D77D1C"/>
    <w:rsid w:val="00D77EF3"/>
    <w:rsid w:val="00D801EF"/>
    <w:rsid w:val="00D80768"/>
    <w:rsid w:val="00D809FC"/>
    <w:rsid w:val="00D80B04"/>
    <w:rsid w:val="00D80D5E"/>
    <w:rsid w:val="00D80E00"/>
    <w:rsid w:val="00D80ECE"/>
    <w:rsid w:val="00D810E8"/>
    <w:rsid w:val="00D8140E"/>
    <w:rsid w:val="00D81B33"/>
    <w:rsid w:val="00D81F10"/>
    <w:rsid w:val="00D81FB7"/>
    <w:rsid w:val="00D820DF"/>
    <w:rsid w:val="00D8275B"/>
    <w:rsid w:val="00D82798"/>
    <w:rsid w:val="00D829E4"/>
    <w:rsid w:val="00D82B4E"/>
    <w:rsid w:val="00D82BD6"/>
    <w:rsid w:val="00D82BF2"/>
    <w:rsid w:val="00D82E57"/>
    <w:rsid w:val="00D8302B"/>
    <w:rsid w:val="00D8325F"/>
    <w:rsid w:val="00D83825"/>
    <w:rsid w:val="00D83C91"/>
    <w:rsid w:val="00D84323"/>
    <w:rsid w:val="00D84387"/>
    <w:rsid w:val="00D84600"/>
    <w:rsid w:val="00D8463F"/>
    <w:rsid w:val="00D84797"/>
    <w:rsid w:val="00D847DC"/>
    <w:rsid w:val="00D848A2"/>
    <w:rsid w:val="00D84918"/>
    <w:rsid w:val="00D84A57"/>
    <w:rsid w:val="00D84B04"/>
    <w:rsid w:val="00D84D75"/>
    <w:rsid w:val="00D84FF2"/>
    <w:rsid w:val="00D853A4"/>
    <w:rsid w:val="00D854E7"/>
    <w:rsid w:val="00D8556D"/>
    <w:rsid w:val="00D85642"/>
    <w:rsid w:val="00D8591D"/>
    <w:rsid w:val="00D85B37"/>
    <w:rsid w:val="00D85D84"/>
    <w:rsid w:val="00D85E23"/>
    <w:rsid w:val="00D85E66"/>
    <w:rsid w:val="00D8678E"/>
    <w:rsid w:val="00D87307"/>
    <w:rsid w:val="00D874DF"/>
    <w:rsid w:val="00D875B8"/>
    <w:rsid w:val="00D87A12"/>
    <w:rsid w:val="00D900C7"/>
    <w:rsid w:val="00D9010A"/>
    <w:rsid w:val="00D90428"/>
    <w:rsid w:val="00D905ED"/>
    <w:rsid w:val="00D90668"/>
    <w:rsid w:val="00D90B56"/>
    <w:rsid w:val="00D911DA"/>
    <w:rsid w:val="00D91467"/>
    <w:rsid w:val="00D9180A"/>
    <w:rsid w:val="00D9201C"/>
    <w:rsid w:val="00D92075"/>
    <w:rsid w:val="00D922A9"/>
    <w:rsid w:val="00D9306D"/>
    <w:rsid w:val="00D930E1"/>
    <w:rsid w:val="00D931C3"/>
    <w:rsid w:val="00D9354D"/>
    <w:rsid w:val="00D935C0"/>
    <w:rsid w:val="00D93935"/>
    <w:rsid w:val="00D9415C"/>
    <w:rsid w:val="00D942CC"/>
    <w:rsid w:val="00D94368"/>
    <w:rsid w:val="00D944E4"/>
    <w:rsid w:val="00D9463D"/>
    <w:rsid w:val="00D946C3"/>
    <w:rsid w:val="00D947F5"/>
    <w:rsid w:val="00D94BAF"/>
    <w:rsid w:val="00D94D87"/>
    <w:rsid w:val="00D94EC1"/>
    <w:rsid w:val="00D953C0"/>
    <w:rsid w:val="00D953D6"/>
    <w:rsid w:val="00D95B31"/>
    <w:rsid w:val="00D95D04"/>
    <w:rsid w:val="00D95DCC"/>
    <w:rsid w:val="00D96060"/>
    <w:rsid w:val="00D962DC"/>
    <w:rsid w:val="00D962E7"/>
    <w:rsid w:val="00D96340"/>
    <w:rsid w:val="00D963AC"/>
    <w:rsid w:val="00D96412"/>
    <w:rsid w:val="00D968A2"/>
    <w:rsid w:val="00D96E59"/>
    <w:rsid w:val="00D97178"/>
    <w:rsid w:val="00D9755F"/>
    <w:rsid w:val="00D97683"/>
    <w:rsid w:val="00D97959"/>
    <w:rsid w:val="00D97A76"/>
    <w:rsid w:val="00DA07B6"/>
    <w:rsid w:val="00DA0E34"/>
    <w:rsid w:val="00DA0F38"/>
    <w:rsid w:val="00DA1062"/>
    <w:rsid w:val="00DA10B2"/>
    <w:rsid w:val="00DA1465"/>
    <w:rsid w:val="00DA180C"/>
    <w:rsid w:val="00DA18A2"/>
    <w:rsid w:val="00DA19DB"/>
    <w:rsid w:val="00DA1EF3"/>
    <w:rsid w:val="00DA1F28"/>
    <w:rsid w:val="00DA217D"/>
    <w:rsid w:val="00DA21FB"/>
    <w:rsid w:val="00DA2251"/>
    <w:rsid w:val="00DA23B1"/>
    <w:rsid w:val="00DA2706"/>
    <w:rsid w:val="00DA295C"/>
    <w:rsid w:val="00DA2ED0"/>
    <w:rsid w:val="00DA3E7B"/>
    <w:rsid w:val="00DA3E7E"/>
    <w:rsid w:val="00DA3F17"/>
    <w:rsid w:val="00DA3F6D"/>
    <w:rsid w:val="00DA418E"/>
    <w:rsid w:val="00DA41F1"/>
    <w:rsid w:val="00DA420D"/>
    <w:rsid w:val="00DA4369"/>
    <w:rsid w:val="00DA4419"/>
    <w:rsid w:val="00DA451D"/>
    <w:rsid w:val="00DA45D2"/>
    <w:rsid w:val="00DA470D"/>
    <w:rsid w:val="00DA49EF"/>
    <w:rsid w:val="00DA4A78"/>
    <w:rsid w:val="00DA4CC5"/>
    <w:rsid w:val="00DA4D71"/>
    <w:rsid w:val="00DA5050"/>
    <w:rsid w:val="00DA52FC"/>
    <w:rsid w:val="00DA5333"/>
    <w:rsid w:val="00DA56DB"/>
    <w:rsid w:val="00DA583C"/>
    <w:rsid w:val="00DA58A6"/>
    <w:rsid w:val="00DA5A15"/>
    <w:rsid w:val="00DA5B43"/>
    <w:rsid w:val="00DA5D65"/>
    <w:rsid w:val="00DA5F4A"/>
    <w:rsid w:val="00DA6004"/>
    <w:rsid w:val="00DA620C"/>
    <w:rsid w:val="00DA6419"/>
    <w:rsid w:val="00DA6452"/>
    <w:rsid w:val="00DA6CCE"/>
    <w:rsid w:val="00DA6EC6"/>
    <w:rsid w:val="00DA6FE9"/>
    <w:rsid w:val="00DA71C0"/>
    <w:rsid w:val="00DA7297"/>
    <w:rsid w:val="00DA7925"/>
    <w:rsid w:val="00DA7C95"/>
    <w:rsid w:val="00DB01D4"/>
    <w:rsid w:val="00DB031E"/>
    <w:rsid w:val="00DB040B"/>
    <w:rsid w:val="00DB051A"/>
    <w:rsid w:val="00DB05A7"/>
    <w:rsid w:val="00DB062D"/>
    <w:rsid w:val="00DB0AB8"/>
    <w:rsid w:val="00DB0D2A"/>
    <w:rsid w:val="00DB11CD"/>
    <w:rsid w:val="00DB13A1"/>
    <w:rsid w:val="00DB157A"/>
    <w:rsid w:val="00DB1B82"/>
    <w:rsid w:val="00DB1DAB"/>
    <w:rsid w:val="00DB2035"/>
    <w:rsid w:val="00DB26AA"/>
    <w:rsid w:val="00DB2FF2"/>
    <w:rsid w:val="00DB32BB"/>
    <w:rsid w:val="00DB33BF"/>
    <w:rsid w:val="00DB37B9"/>
    <w:rsid w:val="00DB39D4"/>
    <w:rsid w:val="00DB3A1A"/>
    <w:rsid w:val="00DB3A47"/>
    <w:rsid w:val="00DB41A9"/>
    <w:rsid w:val="00DB46D0"/>
    <w:rsid w:val="00DB46DF"/>
    <w:rsid w:val="00DB493A"/>
    <w:rsid w:val="00DB49B6"/>
    <w:rsid w:val="00DB4C39"/>
    <w:rsid w:val="00DB4CF3"/>
    <w:rsid w:val="00DB4E06"/>
    <w:rsid w:val="00DB505F"/>
    <w:rsid w:val="00DB54A2"/>
    <w:rsid w:val="00DB574F"/>
    <w:rsid w:val="00DB5D42"/>
    <w:rsid w:val="00DB664F"/>
    <w:rsid w:val="00DB6A80"/>
    <w:rsid w:val="00DB6C06"/>
    <w:rsid w:val="00DB6D7D"/>
    <w:rsid w:val="00DB7B06"/>
    <w:rsid w:val="00DC0249"/>
    <w:rsid w:val="00DC043D"/>
    <w:rsid w:val="00DC0612"/>
    <w:rsid w:val="00DC070D"/>
    <w:rsid w:val="00DC08B1"/>
    <w:rsid w:val="00DC0B14"/>
    <w:rsid w:val="00DC0EA9"/>
    <w:rsid w:val="00DC1070"/>
    <w:rsid w:val="00DC116E"/>
    <w:rsid w:val="00DC1FC3"/>
    <w:rsid w:val="00DC2120"/>
    <w:rsid w:val="00DC2E2C"/>
    <w:rsid w:val="00DC2F5A"/>
    <w:rsid w:val="00DC2F6A"/>
    <w:rsid w:val="00DC318A"/>
    <w:rsid w:val="00DC33A1"/>
    <w:rsid w:val="00DC367C"/>
    <w:rsid w:val="00DC3A12"/>
    <w:rsid w:val="00DC3A9D"/>
    <w:rsid w:val="00DC3B71"/>
    <w:rsid w:val="00DC3C68"/>
    <w:rsid w:val="00DC3E8B"/>
    <w:rsid w:val="00DC3E8D"/>
    <w:rsid w:val="00DC3F37"/>
    <w:rsid w:val="00DC4004"/>
    <w:rsid w:val="00DC405B"/>
    <w:rsid w:val="00DC406C"/>
    <w:rsid w:val="00DC4243"/>
    <w:rsid w:val="00DC449E"/>
    <w:rsid w:val="00DC491F"/>
    <w:rsid w:val="00DC4B8C"/>
    <w:rsid w:val="00DC4C17"/>
    <w:rsid w:val="00DC4E51"/>
    <w:rsid w:val="00DC4FF3"/>
    <w:rsid w:val="00DC500E"/>
    <w:rsid w:val="00DC552D"/>
    <w:rsid w:val="00DC5584"/>
    <w:rsid w:val="00DC55B6"/>
    <w:rsid w:val="00DC590A"/>
    <w:rsid w:val="00DC5E5A"/>
    <w:rsid w:val="00DC5E96"/>
    <w:rsid w:val="00DC6490"/>
    <w:rsid w:val="00DC6ACD"/>
    <w:rsid w:val="00DC6C1E"/>
    <w:rsid w:val="00DC6F2E"/>
    <w:rsid w:val="00DC6F72"/>
    <w:rsid w:val="00DC6FF3"/>
    <w:rsid w:val="00DC7047"/>
    <w:rsid w:val="00DC7255"/>
    <w:rsid w:val="00DC7280"/>
    <w:rsid w:val="00DC72CE"/>
    <w:rsid w:val="00DC77FC"/>
    <w:rsid w:val="00DC7951"/>
    <w:rsid w:val="00DC7CCA"/>
    <w:rsid w:val="00DD014F"/>
    <w:rsid w:val="00DD03DC"/>
    <w:rsid w:val="00DD0437"/>
    <w:rsid w:val="00DD0562"/>
    <w:rsid w:val="00DD0EF8"/>
    <w:rsid w:val="00DD0FBF"/>
    <w:rsid w:val="00DD1052"/>
    <w:rsid w:val="00DD1158"/>
    <w:rsid w:val="00DD1B07"/>
    <w:rsid w:val="00DD1B3C"/>
    <w:rsid w:val="00DD1C35"/>
    <w:rsid w:val="00DD1C4B"/>
    <w:rsid w:val="00DD1F7B"/>
    <w:rsid w:val="00DD229E"/>
    <w:rsid w:val="00DD25A0"/>
    <w:rsid w:val="00DD290D"/>
    <w:rsid w:val="00DD2BAA"/>
    <w:rsid w:val="00DD3029"/>
    <w:rsid w:val="00DD31D3"/>
    <w:rsid w:val="00DD3A75"/>
    <w:rsid w:val="00DD4165"/>
    <w:rsid w:val="00DD4262"/>
    <w:rsid w:val="00DD4F00"/>
    <w:rsid w:val="00DD512C"/>
    <w:rsid w:val="00DD5458"/>
    <w:rsid w:val="00DD55E0"/>
    <w:rsid w:val="00DD57D6"/>
    <w:rsid w:val="00DD593A"/>
    <w:rsid w:val="00DD698F"/>
    <w:rsid w:val="00DD6B32"/>
    <w:rsid w:val="00DD70CA"/>
    <w:rsid w:val="00DD746C"/>
    <w:rsid w:val="00DD7B8A"/>
    <w:rsid w:val="00DD7C5B"/>
    <w:rsid w:val="00DE0297"/>
    <w:rsid w:val="00DE070A"/>
    <w:rsid w:val="00DE08DF"/>
    <w:rsid w:val="00DE091E"/>
    <w:rsid w:val="00DE1164"/>
    <w:rsid w:val="00DE1336"/>
    <w:rsid w:val="00DE1687"/>
    <w:rsid w:val="00DE18A3"/>
    <w:rsid w:val="00DE1904"/>
    <w:rsid w:val="00DE1A4D"/>
    <w:rsid w:val="00DE1DAA"/>
    <w:rsid w:val="00DE1FD2"/>
    <w:rsid w:val="00DE20D6"/>
    <w:rsid w:val="00DE22D8"/>
    <w:rsid w:val="00DE2377"/>
    <w:rsid w:val="00DE261D"/>
    <w:rsid w:val="00DE26DA"/>
    <w:rsid w:val="00DE2EFF"/>
    <w:rsid w:val="00DE32EC"/>
    <w:rsid w:val="00DE3C03"/>
    <w:rsid w:val="00DE3DBB"/>
    <w:rsid w:val="00DE4364"/>
    <w:rsid w:val="00DE43A2"/>
    <w:rsid w:val="00DE4483"/>
    <w:rsid w:val="00DE45AF"/>
    <w:rsid w:val="00DE45F1"/>
    <w:rsid w:val="00DE4A74"/>
    <w:rsid w:val="00DE4B05"/>
    <w:rsid w:val="00DE4BF4"/>
    <w:rsid w:val="00DE4CC6"/>
    <w:rsid w:val="00DE4CF1"/>
    <w:rsid w:val="00DE4EE9"/>
    <w:rsid w:val="00DE5323"/>
    <w:rsid w:val="00DE541C"/>
    <w:rsid w:val="00DE55C9"/>
    <w:rsid w:val="00DE6049"/>
    <w:rsid w:val="00DE65D1"/>
    <w:rsid w:val="00DE6668"/>
    <w:rsid w:val="00DE666F"/>
    <w:rsid w:val="00DE67F0"/>
    <w:rsid w:val="00DE6CA5"/>
    <w:rsid w:val="00DE7057"/>
    <w:rsid w:val="00DE737B"/>
    <w:rsid w:val="00DE7A41"/>
    <w:rsid w:val="00DE7B66"/>
    <w:rsid w:val="00DF0215"/>
    <w:rsid w:val="00DF033D"/>
    <w:rsid w:val="00DF08E7"/>
    <w:rsid w:val="00DF0951"/>
    <w:rsid w:val="00DF100B"/>
    <w:rsid w:val="00DF103E"/>
    <w:rsid w:val="00DF105B"/>
    <w:rsid w:val="00DF11B7"/>
    <w:rsid w:val="00DF120F"/>
    <w:rsid w:val="00DF18A2"/>
    <w:rsid w:val="00DF197F"/>
    <w:rsid w:val="00DF1A2D"/>
    <w:rsid w:val="00DF1F75"/>
    <w:rsid w:val="00DF1F9D"/>
    <w:rsid w:val="00DF21A3"/>
    <w:rsid w:val="00DF31E9"/>
    <w:rsid w:val="00DF36B4"/>
    <w:rsid w:val="00DF38F4"/>
    <w:rsid w:val="00DF3A41"/>
    <w:rsid w:val="00DF3C68"/>
    <w:rsid w:val="00DF3CF2"/>
    <w:rsid w:val="00DF3FEB"/>
    <w:rsid w:val="00DF4359"/>
    <w:rsid w:val="00DF4421"/>
    <w:rsid w:val="00DF4819"/>
    <w:rsid w:val="00DF4BBD"/>
    <w:rsid w:val="00DF4C89"/>
    <w:rsid w:val="00DF56FA"/>
    <w:rsid w:val="00DF5A5D"/>
    <w:rsid w:val="00DF5BFF"/>
    <w:rsid w:val="00DF6367"/>
    <w:rsid w:val="00DF6397"/>
    <w:rsid w:val="00DF63CD"/>
    <w:rsid w:val="00DF67AD"/>
    <w:rsid w:val="00DF6EC8"/>
    <w:rsid w:val="00DF7369"/>
    <w:rsid w:val="00DF73C1"/>
    <w:rsid w:val="00DF7511"/>
    <w:rsid w:val="00DF7751"/>
    <w:rsid w:val="00DF7958"/>
    <w:rsid w:val="00DF7BE8"/>
    <w:rsid w:val="00DF7D38"/>
    <w:rsid w:val="00DF7EC7"/>
    <w:rsid w:val="00E004A9"/>
    <w:rsid w:val="00E0053D"/>
    <w:rsid w:val="00E0081D"/>
    <w:rsid w:val="00E00952"/>
    <w:rsid w:val="00E009B1"/>
    <w:rsid w:val="00E00BC3"/>
    <w:rsid w:val="00E00C89"/>
    <w:rsid w:val="00E00CFA"/>
    <w:rsid w:val="00E011D7"/>
    <w:rsid w:val="00E012BA"/>
    <w:rsid w:val="00E01DE6"/>
    <w:rsid w:val="00E02244"/>
    <w:rsid w:val="00E0276C"/>
    <w:rsid w:val="00E02885"/>
    <w:rsid w:val="00E02EDB"/>
    <w:rsid w:val="00E0304C"/>
    <w:rsid w:val="00E031BB"/>
    <w:rsid w:val="00E034EA"/>
    <w:rsid w:val="00E03597"/>
    <w:rsid w:val="00E03946"/>
    <w:rsid w:val="00E03BF4"/>
    <w:rsid w:val="00E03D6F"/>
    <w:rsid w:val="00E0417B"/>
    <w:rsid w:val="00E043B2"/>
    <w:rsid w:val="00E044C9"/>
    <w:rsid w:val="00E04C06"/>
    <w:rsid w:val="00E05209"/>
    <w:rsid w:val="00E0576C"/>
    <w:rsid w:val="00E05806"/>
    <w:rsid w:val="00E0580D"/>
    <w:rsid w:val="00E05E3A"/>
    <w:rsid w:val="00E06175"/>
    <w:rsid w:val="00E0658D"/>
    <w:rsid w:val="00E068BC"/>
    <w:rsid w:val="00E06F4E"/>
    <w:rsid w:val="00E073F0"/>
    <w:rsid w:val="00E07415"/>
    <w:rsid w:val="00E07717"/>
    <w:rsid w:val="00E078D7"/>
    <w:rsid w:val="00E0799C"/>
    <w:rsid w:val="00E07A0A"/>
    <w:rsid w:val="00E07DA1"/>
    <w:rsid w:val="00E1007F"/>
    <w:rsid w:val="00E102D7"/>
    <w:rsid w:val="00E10583"/>
    <w:rsid w:val="00E10761"/>
    <w:rsid w:val="00E10844"/>
    <w:rsid w:val="00E109F3"/>
    <w:rsid w:val="00E10A6A"/>
    <w:rsid w:val="00E1121B"/>
    <w:rsid w:val="00E11D7A"/>
    <w:rsid w:val="00E11D95"/>
    <w:rsid w:val="00E11EEB"/>
    <w:rsid w:val="00E11F01"/>
    <w:rsid w:val="00E12262"/>
    <w:rsid w:val="00E12719"/>
    <w:rsid w:val="00E128F2"/>
    <w:rsid w:val="00E13309"/>
    <w:rsid w:val="00E13530"/>
    <w:rsid w:val="00E137B4"/>
    <w:rsid w:val="00E13985"/>
    <w:rsid w:val="00E13AAE"/>
    <w:rsid w:val="00E13BCB"/>
    <w:rsid w:val="00E13E5A"/>
    <w:rsid w:val="00E13EE4"/>
    <w:rsid w:val="00E144DE"/>
    <w:rsid w:val="00E156C2"/>
    <w:rsid w:val="00E157BF"/>
    <w:rsid w:val="00E157CA"/>
    <w:rsid w:val="00E15893"/>
    <w:rsid w:val="00E15897"/>
    <w:rsid w:val="00E15FBA"/>
    <w:rsid w:val="00E16463"/>
    <w:rsid w:val="00E164D0"/>
    <w:rsid w:val="00E16CED"/>
    <w:rsid w:val="00E16E24"/>
    <w:rsid w:val="00E16F82"/>
    <w:rsid w:val="00E17157"/>
    <w:rsid w:val="00E172FB"/>
    <w:rsid w:val="00E17582"/>
    <w:rsid w:val="00E175BC"/>
    <w:rsid w:val="00E176EE"/>
    <w:rsid w:val="00E17BED"/>
    <w:rsid w:val="00E17EA4"/>
    <w:rsid w:val="00E17F6F"/>
    <w:rsid w:val="00E20285"/>
    <w:rsid w:val="00E203E6"/>
    <w:rsid w:val="00E20A0D"/>
    <w:rsid w:val="00E20B20"/>
    <w:rsid w:val="00E2104B"/>
    <w:rsid w:val="00E211D6"/>
    <w:rsid w:val="00E2163D"/>
    <w:rsid w:val="00E217EF"/>
    <w:rsid w:val="00E21AD3"/>
    <w:rsid w:val="00E21D86"/>
    <w:rsid w:val="00E22041"/>
    <w:rsid w:val="00E222B4"/>
    <w:rsid w:val="00E22A98"/>
    <w:rsid w:val="00E22BBA"/>
    <w:rsid w:val="00E22CCE"/>
    <w:rsid w:val="00E22ECA"/>
    <w:rsid w:val="00E2331C"/>
    <w:rsid w:val="00E239D1"/>
    <w:rsid w:val="00E23A19"/>
    <w:rsid w:val="00E23A97"/>
    <w:rsid w:val="00E241FD"/>
    <w:rsid w:val="00E244DF"/>
    <w:rsid w:val="00E2459C"/>
    <w:rsid w:val="00E245A7"/>
    <w:rsid w:val="00E246B9"/>
    <w:rsid w:val="00E24B9F"/>
    <w:rsid w:val="00E250C5"/>
    <w:rsid w:val="00E25A19"/>
    <w:rsid w:val="00E25C03"/>
    <w:rsid w:val="00E25E9F"/>
    <w:rsid w:val="00E25F9D"/>
    <w:rsid w:val="00E25FAA"/>
    <w:rsid w:val="00E26483"/>
    <w:rsid w:val="00E26727"/>
    <w:rsid w:val="00E26970"/>
    <w:rsid w:val="00E26BAF"/>
    <w:rsid w:val="00E26FCA"/>
    <w:rsid w:val="00E2728F"/>
    <w:rsid w:val="00E27292"/>
    <w:rsid w:val="00E27466"/>
    <w:rsid w:val="00E2774F"/>
    <w:rsid w:val="00E27791"/>
    <w:rsid w:val="00E277FC"/>
    <w:rsid w:val="00E27A10"/>
    <w:rsid w:val="00E300D7"/>
    <w:rsid w:val="00E30288"/>
    <w:rsid w:val="00E30A8E"/>
    <w:rsid w:val="00E30DED"/>
    <w:rsid w:val="00E30EA7"/>
    <w:rsid w:val="00E30F2D"/>
    <w:rsid w:val="00E31389"/>
    <w:rsid w:val="00E31798"/>
    <w:rsid w:val="00E317D7"/>
    <w:rsid w:val="00E31802"/>
    <w:rsid w:val="00E318E5"/>
    <w:rsid w:val="00E319DB"/>
    <w:rsid w:val="00E31AFC"/>
    <w:rsid w:val="00E31B19"/>
    <w:rsid w:val="00E31D33"/>
    <w:rsid w:val="00E31DDF"/>
    <w:rsid w:val="00E31DF3"/>
    <w:rsid w:val="00E31E9E"/>
    <w:rsid w:val="00E31EFB"/>
    <w:rsid w:val="00E31F92"/>
    <w:rsid w:val="00E3217F"/>
    <w:rsid w:val="00E32269"/>
    <w:rsid w:val="00E3250F"/>
    <w:rsid w:val="00E32CEE"/>
    <w:rsid w:val="00E32FC9"/>
    <w:rsid w:val="00E33078"/>
    <w:rsid w:val="00E339A8"/>
    <w:rsid w:val="00E34059"/>
    <w:rsid w:val="00E3409E"/>
    <w:rsid w:val="00E340CE"/>
    <w:rsid w:val="00E341E3"/>
    <w:rsid w:val="00E34598"/>
    <w:rsid w:val="00E34BDE"/>
    <w:rsid w:val="00E34F76"/>
    <w:rsid w:val="00E353C6"/>
    <w:rsid w:val="00E35656"/>
    <w:rsid w:val="00E35AD4"/>
    <w:rsid w:val="00E35D2E"/>
    <w:rsid w:val="00E35DA0"/>
    <w:rsid w:val="00E36076"/>
    <w:rsid w:val="00E365C0"/>
    <w:rsid w:val="00E36906"/>
    <w:rsid w:val="00E36974"/>
    <w:rsid w:val="00E37017"/>
    <w:rsid w:val="00E37892"/>
    <w:rsid w:val="00E37898"/>
    <w:rsid w:val="00E37ABD"/>
    <w:rsid w:val="00E37B27"/>
    <w:rsid w:val="00E37BE5"/>
    <w:rsid w:val="00E37DD6"/>
    <w:rsid w:val="00E37FB4"/>
    <w:rsid w:val="00E37FBA"/>
    <w:rsid w:val="00E40378"/>
    <w:rsid w:val="00E40429"/>
    <w:rsid w:val="00E407E8"/>
    <w:rsid w:val="00E40B93"/>
    <w:rsid w:val="00E40CF8"/>
    <w:rsid w:val="00E418EB"/>
    <w:rsid w:val="00E41A27"/>
    <w:rsid w:val="00E41AB4"/>
    <w:rsid w:val="00E41D11"/>
    <w:rsid w:val="00E41F2F"/>
    <w:rsid w:val="00E423AD"/>
    <w:rsid w:val="00E42737"/>
    <w:rsid w:val="00E4277C"/>
    <w:rsid w:val="00E42B1B"/>
    <w:rsid w:val="00E432D6"/>
    <w:rsid w:val="00E43321"/>
    <w:rsid w:val="00E4381C"/>
    <w:rsid w:val="00E43CF0"/>
    <w:rsid w:val="00E43E31"/>
    <w:rsid w:val="00E43F0C"/>
    <w:rsid w:val="00E44906"/>
    <w:rsid w:val="00E4590D"/>
    <w:rsid w:val="00E45A74"/>
    <w:rsid w:val="00E45C77"/>
    <w:rsid w:val="00E45DC0"/>
    <w:rsid w:val="00E45FAD"/>
    <w:rsid w:val="00E4608B"/>
    <w:rsid w:val="00E46589"/>
    <w:rsid w:val="00E46D7F"/>
    <w:rsid w:val="00E46E37"/>
    <w:rsid w:val="00E470D3"/>
    <w:rsid w:val="00E4711C"/>
    <w:rsid w:val="00E47448"/>
    <w:rsid w:val="00E47975"/>
    <w:rsid w:val="00E47C9F"/>
    <w:rsid w:val="00E47D51"/>
    <w:rsid w:val="00E47FB2"/>
    <w:rsid w:val="00E500AF"/>
    <w:rsid w:val="00E50105"/>
    <w:rsid w:val="00E501D3"/>
    <w:rsid w:val="00E50336"/>
    <w:rsid w:val="00E50A1B"/>
    <w:rsid w:val="00E5111C"/>
    <w:rsid w:val="00E51150"/>
    <w:rsid w:val="00E511FD"/>
    <w:rsid w:val="00E51509"/>
    <w:rsid w:val="00E5251D"/>
    <w:rsid w:val="00E526A8"/>
    <w:rsid w:val="00E52964"/>
    <w:rsid w:val="00E52AA7"/>
    <w:rsid w:val="00E52B70"/>
    <w:rsid w:val="00E52D98"/>
    <w:rsid w:val="00E53323"/>
    <w:rsid w:val="00E5338C"/>
    <w:rsid w:val="00E53574"/>
    <w:rsid w:val="00E53973"/>
    <w:rsid w:val="00E53A01"/>
    <w:rsid w:val="00E54139"/>
    <w:rsid w:val="00E54357"/>
    <w:rsid w:val="00E5437B"/>
    <w:rsid w:val="00E54608"/>
    <w:rsid w:val="00E546BF"/>
    <w:rsid w:val="00E546F5"/>
    <w:rsid w:val="00E5475F"/>
    <w:rsid w:val="00E54B5A"/>
    <w:rsid w:val="00E55876"/>
    <w:rsid w:val="00E558FF"/>
    <w:rsid w:val="00E55915"/>
    <w:rsid w:val="00E55E7E"/>
    <w:rsid w:val="00E55E9B"/>
    <w:rsid w:val="00E564C4"/>
    <w:rsid w:val="00E5659F"/>
    <w:rsid w:val="00E567C9"/>
    <w:rsid w:val="00E56A6D"/>
    <w:rsid w:val="00E56B8D"/>
    <w:rsid w:val="00E56E3C"/>
    <w:rsid w:val="00E570E3"/>
    <w:rsid w:val="00E5797C"/>
    <w:rsid w:val="00E57E1A"/>
    <w:rsid w:val="00E60439"/>
    <w:rsid w:val="00E604C4"/>
    <w:rsid w:val="00E60809"/>
    <w:rsid w:val="00E60C3A"/>
    <w:rsid w:val="00E611DD"/>
    <w:rsid w:val="00E61300"/>
    <w:rsid w:val="00E61936"/>
    <w:rsid w:val="00E6197E"/>
    <w:rsid w:val="00E61FD9"/>
    <w:rsid w:val="00E627DD"/>
    <w:rsid w:val="00E62CD2"/>
    <w:rsid w:val="00E62EB1"/>
    <w:rsid w:val="00E62EE6"/>
    <w:rsid w:val="00E635B9"/>
    <w:rsid w:val="00E63DE7"/>
    <w:rsid w:val="00E63F24"/>
    <w:rsid w:val="00E63F4D"/>
    <w:rsid w:val="00E64143"/>
    <w:rsid w:val="00E6426F"/>
    <w:rsid w:val="00E64331"/>
    <w:rsid w:val="00E64404"/>
    <w:rsid w:val="00E64702"/>
    <w:rsid w:val="00E6482B"/>
    <w:rsid w:val="00E64862"/>
    <w:rsid w:val="00E64B02"/>
    <w:rsid w:val="00E64B53"/>
    <w:rsid w:val="00E64E1C"/>
    <w:rsid w:val="00E651A7"/>
    <w:rsid w:val="00E65259"/>
    <w:rsid w:val="00E6545C"/>
    <w:rsid w:val="00E65D15"/>
    <w:rsid w:val="00E66085"/>
    <w:rsid w:val="00E666CC"/>
    <w:rsid w:val="00E66726"/>
    <w:rsid w:val="00E66CD8"/>
    <w:rsid w:val="00E66EB9"/>
    <w:rsid w:val="00E67067"/>
    <w:rsid w:val="00E67802"/>
    <w:rsid w:val="00E67EE5"/>
    <w:rsid w:val="00E67F87"/>
    <w:rsid w:val="00E7013A"/>
    <w:rsid w:val="00E70D1D"/>
    <w:rsid w:val="00E713D4"/>
    <w:rsid w:val="00E7161B"/>
    <w:rsid w:val="00E724E4"/>
    <w:rsid w:val="00E724F0"/>
    <w:rsid w:val="00E729BC"/>
    <w:rsid w:val="00E72A01"/>
    <w:rsid w:val="00E72B0B"/>
    <w:rsid w:val="00E72C5B"/>
    <w:rsid w:val="00E72C6B"/>
    <w:rsid w:val="00E7324C"/>
    <w:rsid w:val="00E7366E"/>
    <w:rsid w:val="00E73710"/>
    <w:rsid w:val="00E73AB7"/>
    <w:rsid w:val="00E74CBD"/>
    <w:rsid w:val="00E74E2F"/>
    <w:rsid w:val="00E74F5D"/>
    <w:rsid w:val="00E75093"/>
    <w:rsid w:val="00E754EF"/>
    <w:rsid w:val="00E756E5"/>
    <w:rsid w:val="00E76034"/>
    <w:rsid w:val="00E76A6D"/>
    <w:rsid w:val="00E76B17"/>
    <w:rsid w:val="00E772AC"/>
    <w:rsid w:val="00E773DE"/>
    <w:rsid w:val="00E7743F"/>
    <w:rsid w:val="00E77798"/>
    <w:rsid w:val="00E777DE"/>
    <w:rsid w:val="00E77B37"/>
    <w:rsid w:val="00E77BAB"/>
    <w:rsid w:val="00E77CD7"/>
    <w:rsid w:val="00E77D63"/>
    <w:rsid w:val="00E77E18"/>
    <w:rsid w:val="00E77F1E"/>
    <w:rsid w:val="00E8016B"/>
    <w:rsid w:val="00E80440"/>
    <w:rsid w:val="00E804D9"/>
    <w:rsid w:val="00E8056C"/>
    <w:rsid w:val="00E807E3"/>
    <w:rsid w:val="00E80ABF"/>
    <w:rsid w:val="00E80AEE"/>
    <w:rsid w:val="00E80EEC"/>
    <w:rsid w:val="00E80FCC"/>
    <w:rsid w:val="00E811E2"/>
    <w:rsid w:val="00E81729"/>
    <w:rsid w:val="00E817E0"/>
    <w:rsid w:val="00E81B98"/>
    <w:rsid w:val="00E81D53"/>
    <w:rsid w:val="00E82826"/>
    <w:rsid w:val="00E8292F"/>
    <w:rsid w:val="00E8293C"/>
    <w:rsid w:val="00E8296C"/>
    <w:rsid w:val="00E82A83"/>
    <w:rsid w:val="00E82EE4"/>
    <w:rsid w:val="00E831E7"/>
    <w:rsid w:val="00E832D6"/>
    <w:rsid w:val="00E834AB"/>
    <w:rsid w:val="00E83691"/>
    <w:rsid w:val="00E836EC"/>
    <w:rsid w:val="00E837BD"/>
    <w:rsid w:val="00E8394F"/>
    <w:rsid w:val="00E839B6"/>
    <w:rsid w:val="00E83CC1"/>
    <w:rsid w:val="00E83DA4"/>
    <w:rsid w:val="00E83EBC"/>
    <w:rsid w:val="00E842A0"/>
    <w:rsid w:val="00E843B5"/>
    <w:rsid w:val="00E844A9"/>
    <w:rsid w:val="00E844CB"/>
    <w:rsid w:val="00E84881"/>
    <w:rsid w:val="00E84892"/>
    <w:rsid w:val="00E84A3B"/>
    <w:rsid w:val="00E84ABD"/>
    <w:rsid w:val="00E84EC0"/>
    <w:rsid w:val="00E85307"/>
    <w:rsid w:val="00E85B0A"/>
    <w:rsid w:val="00E85C2F"/>
    <w:rsid w:val="00E869ED"/>
    <w:rsid w:val="00E86ECB"/>
    <w:rsid w:val="00E87224"/>
    <w:rsid w:val="00E87266"/>
    <w:rsid w:val="00E87742"/>
    <w:rsid w:val="00E87C5B"/>
    <w:rsid w:val="00E8B3D4"/>
    <w:rsid w:val="00E907E4"/>
    <w:rsid w:val="00E909AF"/>
    <w:rsid w:val="00E90A24"/>
    <w:rsid w:val="00E90C34"/>
    <w:rsid w:val="00E90F33"/>
    <w:rsid w:val="00E914A4"/>
    <w:rsid w:val="00E915B5"/>
    <w:rsid w:val="00E915FC"/>
    <w:rsid w:val="00E919AC"/>
    <w:rsid w:val="00E91A3E"/>
    <w:rsid w:val="00E91B9A"/>
    <w:rsid w:val="00E91F34"/>
    <w:rsid w:val="00E920C3"/>
    <w:rsid w:val="00E925C4"/>
    <w:rsid w:val="00E927CD"/>
    <w:rsid w:val="00E929BB"/>
    <w:rsid w:val="00E92A4F"/>
    <w:rsid w:val="00E9321C"/>
    <w:rsid w:val="00E93499"/>
    <w:rsid w:val="00E9369A"/>
    <w:rsid w:val="00E93CB3"/>
    <w:rsid w:val="00E93CC6"/>
    <w:rsid w:val="00E93D7B"/>
    <w:rsid w:val="00E946A6"/>
    <w:rsid w:val="00E947E4"/>
    <w:rsid w:val="00E9480A"/>
    <w:rsid w:val="00E9481B"/>
    <w:rsid w:val="00E94D33"/>
    <w:rsid w:val="00E94D93"/>
    <w:rsid w:val="00E95622"/>
    <w:rsid w:val="00E9583E"/>
    <w:rsid w:val="00E958AF"/>
    <w:rsid w:val="00E959A2"/>
    <w:rsid w:val="00E9616B"/>
    <w:rsid w:val="00E96456"/>
    <w:rsid w:val="00E96A29"/>
    <w:rsid w:val="00E96B28"/>
    <w:rsid w:val="00E96B37"/>
    <w:rsid w:val="00E96FE6"/>
    <w:rsid w:val="00E9716F"/>
    <w:rsid w:val="00E973A1"/>
    <w:rsid w:val="00E976E7"/>
    <w:rsid w:val="00E9785A"/>
    <w:rsid w:val="00E979CC"/>
    <w:rsid w:val="00E97DA3"/>
    <w:rsid w:val="00E97E8E"/>
    <w:rsid w:val="00EA0015"/>
    <w:rsid w:val="00EA0240"/>
    <w:rsid w:val="00EA03E4"/>
    <w:rsid w:val="00EA0417"/>
    <w:rsid w:val="00EA0B94"/>
    <w:rsid w:val="00EA0F54"/>
    <w:rsid w:val="00EA0F89"/>
    <w:rsid w:val="00EA1059"/>
    <w:rsid w:val="00EA142B"/>
    <w:rsid w:val="00EA15A9"/>
    <w:rsid w:val="00EA1748"/>
    <w:rsid w:val="00EA1B34"/>
    <w:rsid w:val="00EA1BBC"/>
    <w:rsid w:val="00EA1D43"/>
    <w:rsid w:val="00EA206C"/>
    <w:rsid w:val="00EA241C"/>
    <w:rsid w:val="00EA282C"/>
    <w:rsid w:val="00EA2987"/>
    <w:rsid w:val="00EA2F1A"/>
    <w:rsid w:val="00EA311B"/>
    <w:rsid w:val="00EA34BE"/>
    <w:rsid w:val="00EA3531"/>
    <w:rsid w:val="00EA35FB"/>
    <w:rsid w:val="00EA3C28"/>
    <w:rsid w:val="00EA3E78"/>
    <w:rsid w:val="00EA3F78"/>
    <w:rsid w:val="00EA3FF5"/>
    <w:rsid w:val="00EA43D6"/>
    <w:rsid w:val="00EA49DE"/>
    <w:rsid w:val="00EA4A0E"/>
    <w:rsid w:val="00EA4ABB"/>
    <w:rsid w:val="00EA4C04"/>
    <w:rsid w:val="00EA4EC9"/>
    <w:rsid w:val="00EA557D"/>
    <w:rsid w:val="00EA562B"/>
    <w:rsid w:val="00EA568E"/>
    <w:rsid w:val="00EA585F"/>
    <w:rsid w:val="00EA5980"/>
    <w:rsid w:val="00EA5BB9"/>
    <w:rsid w:val="00EA5BED"/>
    <w:rsid w:val="00EA5CB2"/>
    <w:rsid w:val="00EA5DD5"/>
    <w:rsid w:val="00EA5E0F"/>
    <w:rsid w:val="00EA5F7F"/>
    <w:rsid w:val="00EA6129"/>
    <w:rsid w:val="00EA61A9"/>
    <w:rsid w:val="00EA6B30"/>
    <w:rsid w:val="00EA6C5E"/>
    <w:rsid w:val="00EA6F1B"/>
    <w:rsid w:val="00EA6FE4"/>
    <w:rsid w:val="00EA7025"/>
    <w:rsid w:val="00EA76AC"/>
    <w:rsid w:val="00EA76F6"/>
    <w:rsid w:val="00EA798D"/>
    <w:rsid w:val="00EA7C0C"/>
    <w:rsid w:val="00EA7E8B"/>
    <w:rsid w:val="00EA7F4C"/>
    <w:rsid w:val="00EB037C"/>
    <w:rsid w:val="00EB16FA"/>
    <w:rsid w:val="00EB1816"/>
    <w:rsid w:val="00EB197C"/>
    <w:rsid w:val="00EB1BDD"/>
    <w:rsid w:val="00EB1BFB"/>
    <w:rsid w:val="00EB1D47"/>
    <w:rsid w:val="00EB1DB0"/>
    <w:rsid w:val="00EB1FE0"/>
    <w:rsid w:val="00EB2146"/>
    <w:rsid w:val="00EB2317"/>
    <w:rsid w:val="00EB252C"/>
    <w:rsid w:val="00EB26C6"/>
    <w:rsid w:val="00EB279B"/>
    <w:rsid w:val="00EB2888"/>
    <w:rsid w:val="00EB28A8"/>
    <w:rsid w:val="00EB2ABB"/>
    <w:rsid w:val="00EB2B18"/>
    <w:rsid w:val="00EB2EB1"/>
    <w:rsid w:val="00EB2F70"/>
    <w:rsid w:val="00EB349B"/>
    <w:rsid w:val="00EB37E4"/>
    <w:rsid w:val="00EB3834"/>
    <w:rsid w:val="00EB3F13"/>
    <w:rsid w:val="00EB4D53"/>
    <w:rsid w:val="00EB4F83"/>
    <w:rsid w:val="00EB519E"/>
    <w:rsid w:val="00EB5211"/>
    <w:rsid w:val="00EB584C"/>
    <w:rsid w:val="00EB5863"/>
    <w:rsid w:val="00EB58BD"/>
    <w:rsid w:val="00EB5C41"/>
    <w:rsid w:val="00EB5D88"/>
    <w:rsid w:val="00EB68D6"/>
    <w:rsid w:val="00EB6C3E"/>
    <w:rsid w:val="00EB6D14"/>
    <w:rsid w:val="00EB703A"/>
    <w:rsid w:val="00EB7255"/>
    <w:rsid w:val="00EB7277"/>
    <w:rsid w:val="00EB72B7"/>
    <w:rsid w:val="00EB7307"/>
    <w:rsid w:val="00EB733F"/>
    <w:rsid w:val="00EB772D"/>
    <w:rsid w:val="00EB7F03"/>
    <w:rsid w:val="00EC0228"/>
    <w:rsid w:val="00EC06D6"/>
    <w:rsid w:val="00EC0902"/>
    <w:rsid w:val="00EC097E"/>
    <w:rsid w:val="00EC0AA5"/>
    <w:rsid w:val="00EC0E4B"/>
    <w:rsid w:val="00EC0FA5"/>
    <w:rsid w:val="00EC10FC"/>
    <w:rsid w:val="00EC1309"/>
    <w:rsid w:val="00EC142A"/>
    <w:rsid w:val="00EC1466"/>
    <w:rsid w:val="00EC14B0"/>
    <w:rsid w:val="00EC1CB2"/>
    <w:rsid w:val="00EC1CEA"/>
    <w:rsid w:val="00EC204E"/>
    <w:rsid w:val="00EC23C1"/>
    <w:rsid w:val="00EC249E"/>
    <w:rsid w:val="00EC2BA9"/>
    <w:rsid w:val="00EC2CFF"/>
    <w:rsid w:val="00EC2DFB"/>
    <w:rsid w:val="00EC345C"/>
    <w:rsid w:val="00EC37AB"/>
    <w:rsid w:val="00EC37CA"/>
    <w:rsid w:val="00EC37EE"/>
    <w:rsid w:val="00EC3861"/>
    <w:rsid w:val="00EC3903"/>
    <w:rsid w:val="00EC4432"/>
    <w:rsid w:val="00EC48A4"/>
    <w:rsid w:val="00EC4904"/>
    <w:rsid w:val="00EC4D8A"/>
    <w:rsid w:val="00EC4DF6"/>
    <w:rsid w:val="00EC5156"/>
    <w:rsid w:val="00EC51E1"/>
    <w:rsid w:val="00EC53E1"/>
    <w:rsid w:val="00EC5496"/>
    <w:rsid w:val="00EC5658"/>
    <w:rsid w:val="00EC5C4F"/>
    <w:rsid w:val="00EC5C50"/>
    <w:rsid w:val="00EC5F2F"/>
    <w:rsid w:val="00EC62EE"/>
    <w:rsid w:val="00EC651E"/>
    <w:rsid w:val="00EC65E5"/>
    <w:rsid w:val="00EC6657"/>
    <w:rsid w:val="00EC692E"/>
    <w:rsid w:val="00EC6B6B"/>
    <w:rsid w:val="00EC6FB0"/>
    <w:rsid w:val="00EC7365"/>
    <w:rsid w:val="00EC7374"/>
    <w:rsid w:val="00EC745E"/>
    <w:rsid w:val="00EC775C"/>
    <w:rsid w:val="00EC7C5D"/>
    <w:rsid w:val="00EC7D0C"/>
    <w:rsid w:val="00EC7EAF"/>
    <w:rsid w:val="00EC7EB5"/>
    <w:rsid w:val="00ED01E5"/>
    <w:rsid w:val="00ED04DE"/>
    <w:rsid w:val="00ED0527"/>
    <w:rsid w:val="00ED07CB"/>
    <w:rsid w:val="00ED0954"/>
    <w:rsid w:val="00ED1232"/>
    <w:rsid w:val="00ED1327"/>
    <w:rsid w:val="00ED16F5"/>
    <w:rsid w:val="00ED188E"/>
    <w:rsid w:val="00ED1E9F"/>
    <w:rsid w:val="00ED213E"/>
    <w:rsid w:val="00ED2415"/>
    <w:rsid w:val="00ED27C3"/>
    <w:rsid w:val="00ED2A61"/>
    <w:rsid w:val="00ED2AE2"/>
    <w:rsid w:val="00ED2C5A"/>
    <w:rsid w:val="00ED2C8E"/>
    <w:rsid w:val="00ED3276"/>
    <w:rsid w:val="00ED33AE"/>
    <w:rsid w:val="00ED3564"/>
    <w:rsid w:val="00ED3775"/>
    <w:rsid w:val="00ED385D"/>
    <w:rsid w:val="00ED3884"/>
    <w:rsid w:val="00ED3964"/>
    <w:rsid w:val="00ED3ADF"/>
    <w:rsid w:val="00ED3B11"/>
    <w:rsid w:val="00ED3F1A"/>
    <w:rsid w:val="00ED4113"/>
    <w:rsid w:val="00ED42E2"/>
    <w:rsid w:val="00ED42F2"/>
    <w:rsid w:val="00ED44F8"/>
    <w:rsid w:val="00ED4982"/>
    <w:rsid w:val="00ED4A6D"/>
    <w:rsid w:val="00ED5B0C"/>
    <w:rsid w:val="00ED5BAA"/>
    <w:rsid w:val="00ED5DAF"/>
    <w:rsid w:val="00ED6D4A"/>
    <w:rsid w:val="00ED6ED6"/>
    <w:rsid w:val="00ED6F9D"/>
    <w:rsid w:val="00ED721A"/>
    <w:rsid w:val="00ED734E"/>
    <w:rsid w:val="00ED738C"/>
    <w:rsid w:val="00ED7596"/>
    <w:rsid w:val="00ED770C"/>
    <w:rsid w:val="00ED7918"/>
    <w:rsid w:val="00ED7F3E"/>
    <w:rsid w:val="00ED7FD3"/>
    <w:rsid w:val="00EE0229"/>
    <w:rsid w:val="00EE05BF"/>
    <w:rsid w:val="00EE0603"/>
    <w:rsid w:val="00EE09D0"/>
    <w:rsid w:val="00EE0E5D"/>
    <w:rsid w:val="00EE11C2"/>
    <w:rsid w:val="00EE16D5"/>
    <w:rsid w:val="00EE1DA7"/>
    <w:rsid w:val="00EE276E"/>
    <w:rsid w:val="00EE2934"/>
    <w:rsid w:val="00EE29E1"/>
    <w:rsid w:val="00EE2A61"/>
    <w:rsid w:val="00EE2B52"/>
    <w:rsid w:val="00EE2BE6"/>
    <w:rsid w:val="00EE3663"/>
    <w:rsid w:val="00EE3B83"/>
    <w:rsid w:val="00EE3CCD"/>
    <w:rsid w:val="00EE4127"/>
    <w:rsid w:val="00EE41C4"/>
    <w:rsid w:val="00EE421C"/>
    <w:rsid w:val="00EE43FE"/>
    <w:rsid w:val="00EE4568"/>
    <w:rsid w:val="00EE4A46"/>
    <w:rsid w:val="00EE4B6B"/>
    <w:rsid w:val="00EE514A"/>
    <w:rsid w:val="00EE51D3"/>
    <w:rsid w:val="00EE55AF"/>
    <w:rsid w:val="00EE5630"/>
    <w:rsid w:val="00EE57F8"/>
    <w:rsid w:val="00EE5A27"/>
    <w:rsid w:val="00EE5F88"/>
    <w:rsid w:val="00EE62F1"/>
    <w:rsid w:val="00EE6419"/>
    <w:rsid w:val="00EE647F"/>
    <w:rsid w:val="00EE6785"/>
    <w:rsid w:val="00EE67FB"/>
    <w:rsid w:val="00EE6B4A"/>
    <w:rsid w:val="00EE6B71"/>
    <w:rsid w:val="00EE6CC6"/>
    <w:rsid w:val="00EE6E77"/>
    <w:rsid w:val="00EE7168"/>
    <w:rsid w:val="00EE71B3"/>
    <w:rsid w:val="00EE7213"/>
    <w:rsid w:val="00EE7597"/>
    <w:rsid w:val="00EE76A9"/>
    <w:rsid w:val="00EE799E"/>
    <w:rsid w:val="00EE7B43"/>
    <w:rsid w:val="00EE7CA8"/>
    <w:rsid w:val="00EE7D30"/>
    <w:rsid w:val="00EE7FA7"/>
    <w:rsid w:val="00EF0179"/>
    <w:rsid w:val="00EF0322"/>
    <w:rsid w:val="00EF041B"/>
    <w:rsid w:val="00EF0576"/>
    <w:rsid w:val="00EF082D"/>
    <w:rsid w:val="00EF0B76"/>
    <w:rsid w:val="00EF0C33"/>
    <w:rsid w:val="00EF1093"/>
    <w:rsid w:val="00EF1276"/>
    <w:rsid w:val="00EF158A"/>
    <w:rsid w:val="00EF1FCB"/>
    <w:rsid w:val="00EF21C3"/>
    <w:rsid w:val="00EF25D9"/>
    <w:rsid w:val="00EF2BC5"/>
    <w:rsid w:val="00EF2C14"/>
    <w:rsid w:val="00EF2E6B"/>
    <w:rsid w:val="00EF2EF8"/>
    <w:rsid w:val="00EF3554"/>
    <w:rsid w:val="00EF4099"/>
    <w:rsid w:val="00EF431E"/>
    <w:rsid w:val="00EF43B4"/>
    <w:rsid w:val="00EF44CD"/>
    <w:rsid w:val="00EF450D"/>
    <w:rsid w:val="00EF47C9"/>
    <w:rsid w:val="00EF4ADB"/>
    <w:rsid w:val="00EF4DC7"/>
    <w:rsid w:val="00EF515B"/>
    <w:rsid w:val="00EF516D"/>
    <w:rsid w:val="00EF52F4"/>
    <w:rsid w:val="00EF5391"/>
    <w:rsid w:val="00EF54D1"/>
    <w:rsid w:val="00EF56B7"/>
    <w:rsid w:val="00EF58ED"/>
    <w:rsid w:val="00EF5A01"/>
    <w:rsid w:val="00EF5D01"/>
    <w:rsid w:val="00EF5D61"/>
    <w:rsid w:val="00EF609C"/>
    <w:rsid w:val="00EF60BE"/>
    <w:rsid w:val="00EF6526"/>
    <w:rsid w:val="00EF67BB"/>
    <w:rsid w:val="00EF6883"/>
    <w:rsid w:val="00EF6A05"/>
    <w:rsid w:val="00EF6A3A"/>
    <w:rsid w:val="00EF6DE4"/>
    <w:rsid w:val="00EF6DEE"/>
    <w:rsid w:val="00EF712F"/>
    <w:rsid w:val="00EF7195"/>
    <w:rsid w:val="00EF72F9"/>
    <w:rsid w:val="00EF74FB"/>
    <w:rsid w:val="00EF7D9D"/>
    <w:rsid w:val="00EF7EB4"/>
    <w:rsid w:val="00F0021E"/>
    <w:rsid w:val="00F0030E"/>
    <w:rsid w:val="00F00542"/>
    <w:rsid w:val="00F006F1"/>
    <w:rsid w:val="00F009A5"/>
    <w:rsid w:val="00F00C50"/>
    <w:rsid w:val="00F00CD1"/>
    <w:rsid w:val="00F0121F"/>
    <w:rsid w:val="00F01655"/>
    <w:rsid w:val="00F01E41"/>
    <w:rsid w:val="00F01E6B"/>
    <w:rsid w:val="00F023E2"/>
    <w:rsid w:val="00F0241C"/>
    <w:rsid w:val="00F031EE"/>
    <w:rsid w:val="00F0331E"/>
    <w:rsid w:val="00F036FF"/>
    <w:rsid w:val="00F03784"/>
    <w:rsid w:val="00F03922"/>
    <w:rsid w:val="00F03ACB"/>
    <w:rsid w:val="00F03C51"/>
    <w:rsid w:val="00F03DF4"/>
    <w:rsid w:val="00F04405"/>
    <w:rsid w:val="00F0473A"/>
    <w:rsid w:val="00F047E5"/>
    <w:rsid w:val="00F049B5"/>
    <w:rsid w:val="00F05759"/>
    <w:rsid w:val="00F05A25"/>
    <w:rsid w:val="00F05E2F"/>
    <w:rsid w:val="00F05EB9"/>
    <w:rsid w:val="00F062B5"/>
    <w:rsid w:val="00F064EC"/>
    <w:rsid w:val="00F06698"/>
    <w:rsid w:val="00F067ED"/>
    <w:rsid w:val="00F06937"/>
    <w:rsid w:val="00F069A4"/>
    <w:rsid w:val="00F06A62"/>
    <w:rsid w:val="00F070FC"/>
    <w:rsid w:val="00F073C2"/>
    <w:rsid w:val="00F07410"/>
    <w:rsid w:val="00F07601"/>
    <w:rsid w:val="00F076A9"/>
    <w:rsid w:val="00F0780D"/>
    <w:rsid w:val="00F07830"/>
    <w:rsid w:val="00F07E40"/>
    <w:rsid w:val="00F07F39"/>
    <w:rsid w:val="00F10288"/>
    <w:rsid w:val="00F10AE4"/>
    <w:rsid w:val="00F10CB9"/>
    <w:rsid w:val="00F10EA4"/>
    <w:rsid w:val="00F110CD"/>
    <w:rsid w:val="00F110D5"/>
    <w:rsid w:val="00F111BC"/>
    <w:rsid w:val="00F1162E"/>
    <w:rsid w:val="00F11A19"/>
    <w:rsid w:val="00F11C36"/>
    <w:rsid w:val="00F12351"/>
    <w:rsid w:val="00F123E4"/>
    <w:rsid w:val="00F12624"/>
    <w:rsid w:val="00F126F8"/>
    <w:rsid w:val="00F12A39"/>
    <w:rsid w:val="00F12C39"/>
    <w:rsid w:val="00F132D1"/>
    <w:rsid w:val="00F13769"/>
    <w:rsid w:val="00F13A3D"/>
    <w:rsid w:val="00F142EE"/>
    <w:rsid w:val="00F14868"/>
    <w:rsid w:val="00F14A34"/>
    <w:rsid w:val="00F14A6C"/>
    <w:rsid w:val="00F14FE2"/>
    <w:rsid w:val="00F150BB"/>
    <w:rsid w:val="00F1514C"/>
    <w:rsid w:val="00F15193"/>
    <w:rsid w:val="00F15270"/>
    <w:rsid w:val="00F15666"/>
    <w:rsid w:val="00F15C6E"/>
    <w:rsid w:val="00F160D3"/>
    <w:rsid w:val="00F16739"/>
    <w:rsid w:val="00F168AC"/>
    <w:rsid w:val="00F16C50"/>
    <w:rsid w:val="00F16DE2"/>
    <w:rsid w:val="00F171F6"/>
    <w:rsid w:val="00F17EE9"/>
    <w:rsid w:val="00F204B9"/>
    <w:rsid w:val="00F2052B"/>
    <w:rsid w:val="00F2086A"/>
    <w:rsid w:val="00F20B8C"/>
    <w:rsid w:val="00F20E4C"/>
    <w:rsid w:val="00F211EC"/>
    <w:rsid w:val="00F21C37"/>
    <w:rsid w:val="00F21F0A"/>
    <w:rsid w:val="00F22183"/>
    <w:rsid w:val="00F2221E"/>
    <w:rsid w:val="00F2260F"/>
    <w:rsid w:val="00F22ACC"/>
    <w:rsid w:val="00F22CB1"/>
    <w:rsid w:val="00F23243"/>
    <w:rsid w:val="00F2332A"/>
    <w:rsid w:val="00F233F9"/>
    <w:rsid w:val="00F235CB"/>
    <w:rsid w:val="00F237BE"/>
    <w:rsid w:val="00F239C6"/>
    <w:rsid w:val="00F23C09"/>
    <w:rsid w:val="00F23FC2"/>
    <w:rsid w:val="00F242AD"/>
    <w:rsid w:val="00F242B8"/>
    <w:rsid w:val="00F2479E"/>
    <w:rsid w:val="00F247F2"/>
    <w:rsid w:val="00F24E5F"/>
    <w:rsid w:val="00F2518F"/>
    <w:rsid w:val="00F25235"/>
    <w:rsid w:val="00F252A8"/>
    <w:rsid w:val="00F255D9"/>
    <w:rsid w:val="00F2562C"/>
    <w:rsid w:val="00F25FD0"/>
    <w:rsid w:val="00F2618C"/>
    <w:rsid w:val="00F262E4"/>
    <w:rsid w:val="00F264A5"/>
    <w:rsid w:val="00F26541"/>
    <w:rsid w:val="00F265F7"/>
    <w:rsid w:val="00F266FF"/>
    <w:rsid w:val="00F26B57"/>
    <w:rsid w:val="00F26C96"/>
    <w:rsid w:val="00F27211"/>
    <w:rsid w:val="00F272E1"/>
    <w:rsid w:val="00F27589"/>
    <w:rsid w:val="00F2763A"/>
    <w:rsid w:val="00F276E0"/>
    <w:rsid w:val="00F27EDE"/>
    <w:rsid w:val="00F27FA6"/>
    <w:rsid w:val="00F3016A"/>
    <w:rsid w:val="00F304B5"/>
    <w:rsid w:val="00F30570"/>
    <w:rsid w:val="00F30B5C"/>
    <w:rsid w:val="00F3132A"/>
    <w:rsid w:val="00F31638"/>
    <w:rsid w:val="00F317A2"/>
    <w:rsid w:val="00F31AB9"/>
    <w:rsid w:val="00F31D56"/>
    <w:rsid w:val="00F31EDA"/>
    <w:rsid w:val="00F320F1"/>
    <w:rsid w:val="00F32245"/>
    <w:rsid w:val="00F32298"/>
    <w:rsid w:val="00F327DD"/>
    <w:rsid w:val="00F32A7A"/>
    <w:rsid w:val="00F32ED7"/>
    <w:rsid w:val="00F3322B"/>
    <w:rsid w:val="00F332E6"/>
    <w:rsid w:val="00F3358E"/>
    <w:rsid w:val="00F33983"/>
    <w:rsid w:val="00F33DC8"/>
    <w:rsid w:val="00F33E10"/>
    <w:rsid w:val="00F34038"/>
    <w:rsid w:val="00F34444"/>
    <w:rsid w:val="00F34742"/>
    <w:rsid w:val="00F347B5"/>
    <w:rsid w:val="00F348C4"/>
    <w:rsid w:val="00F34A46"/>
    <w:rsid w:val="00F34B41"/>
    <w:rsid w:val="00F34DC9"/>
    <w:rsid w:val="00F35341"/>
    <w:rsid w:val="00F35E2B"/>
    <w:rsid w:val="00F35E78"/>
    <w:rsid w:val="00F360A9"/>
    <w:rsid w:val="00F360EF"/>
    <w:rsid w:val="00F36469"/>
    <w:rsid w:val="00F36743"/>
    <w:rsid w:val="00F36951"/>
    <w:rsid w:val="00F36CDC"/>
    <w:rsid w:val="00F374AB"/>
    <w:rsid w:val="00F37867"/>
    <w:rsid w:val="00F378F1"/>
    <w:rsid w:val="00F37C31"/>
    <w:rsid w:val="00F37EF2"/>
    <w:rsid w:val="00F37F86"/>
    <w:rsid w:val="00F37FE5"/>
    <w:rsid w:val="00F401AA"/>
    <w:rsid w:val="00F403A1"/>
    <w:rsid w:val="00F403DB"/>
    <w:rsid w:val="00F40638"/>
    <w:rsid w:val="00F4065A"/>
    <w:rsid w:val="00F40C66"/>
    <w:rsid w:val="00F40F1E"/>
    <w:rsid w:val="00F40FC0"/>
    <w:rsid w:val="00F42048"/>
    <w:rsid w:val="00F42493"/>
    <w:rsid w:val="00F425D2"/>
    <w:rsid w:val="00F4275C"/>
    <w:rsid w:val="00F427E5"/>
    <w:rsid w:val="00F42A7E"/>
    <w:rsid w:val="00F42E34"/>
    <w:rsid w:val="00F432B9"/>
    <w:rsid w:val="00F43428"/>
    <w:rsid w:val="00F434B2"/>
    <w:rsid w:val="00F43894"/>
    <w:rsid w:val="00F43B82"/>
    <w:rsid w:val="00F43B96"/>
    <w:rsid w:val="00F43EDA"/>
    <w:rsid w:val="00F43FAE"/>
    <w:rsid w:val="00F43FD4"/>
    <w:rsid w:val="00F4414F"/>
    <w:rsid w:val="00F44731"/>
    <w:rsid w:val="00F44A62"/>
    <w:rsid w:val="00F45323"/>
    <w:rsid w:val="00F45332"/>
    <w:rsid w:val="00F45693"/>
    <w:rsid w:val="00F45960"/>
    <w:rsid w:val="00F460B4"/>
    <w:rsid w:val="00F4638F"/>
    <w:rsid w:val="00F4692F"/>
    <w:rsid w:val="00F46B43"/>
    <w:rsid w:val="00F46CC3"/>
    <w:rsid w:val="00F46DC0"/>
    <w:rsid w:val="00F46FA2"/>
    <w:rsid w:val="00F47008"/>
    <w:rsid w:val="00F47391"/>
    <w:rsid w:val="00F4769A"/>
    <w:rsid w:val="00F4790F"/>
    <w:rsid w:val="00F47B50"/>
    <w:rsid w:val="00F47CF3"/>
    <w:rsid w:val="00F47F03"/>
    <w:rsid w:val="00F5031B"/>
    <w:rsid w:val="00F50389"/>
    <w:rsid w:val="00F503D8"/>
    <w:rsid w:val="00F505C0"/>
    <w:rsid w:val="00F50C37"/>
    <w:rsid w:val="00F50CF2"/>
    <w:rsid w:val="00F519CF"/>
    <w:rsid w:val="00F51A20"/>
    <w:rsid w:val="00F51AE6"/>
    <w:rsid w:val="00F51DD1"/>
    <w:rsid w:val="00F51EC8"/>
    <w:rsid w:val="00F52156"/>
    <w:rsid w:val="00F52339"/>
    <w:rsid w:val="00F523B0"/>
    <w:rsid w:val="00F525BE"/>
    <w:rsid w:val="00F5277A"/>
    <w:rsid w:val="00F527A9"/>
    <w:rsid w:val="00F52837"/>
    <w:rsid w:val="00F529B8"/>
    <w:rsid w:val="00F529D8"/>
    <w:rsid w:val="00F52CFB"/>
    <w:rsid w:val="00F52E76"/>
    <w:rsid w:val="00F531F5"/>
    <w:rsid w:val="00F532E8"/>
    <w:rsid w:val="00F532FF"/>
    <w:rsid w:val="00F537EA"/>
    <w:rsid w:val="00F537FF"/>
    <w:rsid w:val="00F53885"/>
    <w:rsid w:val="00F539BA"/>
    <w:rsid w:val="00F53A12"/>
    <w:rsid w:val="00F5415E"/>
    <w:rsid w:val="00F54331"/>
    <w:rsid w:val="00F543F7"/>
    <w:rsid w:val="00F548C5"/>
    <w:rsid w:val="00F54E36"/>
    <w:rsid w:val="00F55791"/>
    <w:rsid w:val="00F55DC2"/>
    <w:rsid w:val="00F55F5E"/>
    <w:rsid w:val="00F56031"/>
    <w:rsid w:val="00F560BA"/>
    <w:rsid w:val="00F560FE"/>
    <w:rsid w:val="00F5686A"/>
    <w:rsid w:val="00F56970"/>
    <w:rsid w:val="00F56F29"/>
    <w:rsid w:val="00F5721E"/>
    <w:rsid w:val="00F57B87"/>
    <w:rsid w:val="00F601A5"/>
    <w:rsid w:val="00F6034A"/>
    <w:rsid w:val="00F604CB"/>
    <w:rsid w:val="00F6071C"/>
    <w:rsid w:val="00F608C9"/>
    <w:rsid w:val="00F60A32"/>
    <w:rsid w:val="00F60BC4"/>
    <w:rsid w:val="00F60C6E"/>
    <w:rsid w:val="00F60CD6"/>
    <w:rsid w:val="00F6111C"/>
    <w:rsid w:val="00F61207"/>
    <w:rsid w:val="00F614C0"/>
    <w:rsid w:val="00F61622"/>
    <w:rsid w:val="00F61647"/>
    <w:rsid w:val="00F61908"/>
    <w:rsid w:val="00F61FC4"/>
    <w:rsid w:val="00F6226B"/>
    <w:rsid w:val="00F625D2"/>
    <w:rsid w:val="00F63578"/>
    <w:rsid w:val="00F63754"/>
    <w:rsid w:val="00F63B30"/>
    <w:rsid w:val="00F63B83"/>
    <w:rsid w:val="00F63B96"/>
    <w:rsid w:val="00F63CEC"/>
    <w:rsid w:val="00F63D87"/>
    <w:rsid w:val="00F6406A"/>
    <w:rsid w:val="00F64279"/>
    <w:rsid w:val="00F64660"/>
    <w:rsid w:val="00F647FB"/>
    <w:rsid w:val="00F648F8"/>
    <w:rsid w:val="00F64F18"/>
    <w:rsid w:val="00F650DD"/>
    <w:rsid w:val="00F652F8"/>
    <w:rsid w:val="00F653D1"/>
    <w:rsid w:val="00F657CF"/>
    <w:rsid w:val="00F65808"/>
    <w:rsid w:val="00F6587D"/>
    <w:rsid w:val="00F65D01"/>
    <w:rsid w:val="00F662CF"/>
    <w:rsid w:val="00F66381"/>
    <w:rsid w:val="00F668C1"/>
    <w:rsid w:val="00F66A00"/>
    <w:rsid w:val="00F66B16"/>
    <w:rsid w:val="00F66B36"/>
    <w:rsid w:val="00F66C8D"/>
    <w:rsid w:val="00F66CFB"/>
    <w:rsid w:val="00F67107"/>
    <w:rsid w:val="00F671FA"/>
    <w:rsid w:val="00F672F1"/>
    <w:rsid w:val="00F67316"/>
    <w:rsid w:val="00F67378"/>
    <w:rsid w:val="00F674ED"/>
    <w:rsid w:val="00F67AFF"/>
    <w:rsid w:val="00F67EDD"/>
    <w:rsid w:val="00F70319"/>
    <w:rsid w:val="00F70333"/>
    <w:rsid w:val="00F70485"/>
    <w:rsid w:val="00F70719"/>
    <w:rsid w:val="00F70970"/>
    <w:rsid w:val="00F709A4"/>
    <w:rsid w:val="00F70C73"/>
    <w:rsid w:val="00F70CA9"/>
    <w:rsid w:val="00F713A3"/>
    <w:rsid w:val="00F71946"/>
    <w:rsid w:val="00F71969"/>
    <w:rsid w:val="00F71A8F"/>
    <w:rsid w:val="00F71C1E"/>
    <w:rsid w:val="00F71C2D"/>
    <w:rsid w:val="00F71DB3"/>
    <w:rsid w:val="00F71E16"/>
    <w:rsid w:val="00F72091"/>
    <w:rsid w:val="00F7214E"/>
    <w:rsid w:val="00F724CE"/>
    <w:rsid w:val="00F7284C"/>
    <w:rsid w:val="00F72B2F"/>
    <w:rsid w:val="00F72B7C"/>
    <w:rsid w:val="00F72C8C"/>
    <w:rsid w:val="00F72F3F"/>
    <w:rsid w:val="00F73606"/>
    <w:rsid w:val="00F73BD9"/>
    <w:rsid w:val="00F7402C"/>
    <w:rsid w:val="00F744B5"/>
    <w:rsid w:val="00F74707"/>
    <w:rsid w:val="00F74955"/>
    <w:rsid w:val="00F74D88"/>
    <w:rsid w:val="00F750DB"/>
    <w:rsid w:val="00F75330"/>
    <w:rsid w:val="00F75B66"/>
    <w:rsid w:val="00F760E4"/>
    <w:rsid w:val="00F76365"/>
    <w:rsid w:val="00F76560"/>
    <w:rsid w:val="00F767DF"/>
    <w:rsid w:val="00F76BD9"/>
    <w:rsid w:val="00F76CC5"/>
    <w:rsid w:val="00F7707C"/>
    <w:rsid w:val="00F772F0"/>
    <w:rsid w:val="00F7743E"/>
    <w:rsid w:val="00F77845"/>
    <w:rsid w:val="00F77B13"/>
    <w:rsid w:val="00F77CBD"/>
    <w:rsid w:val="00F80318"/>
    <w:rsid w:val="00F803D0"/>
    <w:rsid w:val="00F80703"/>
    <w:rsid w:val="00F808C1"/>
    <w:rsid w:val="00F80948"/>
    <w:rsid w:val="00F809DE"/>
    <w:rsid w:val="00F80A59"/>
    <w:rsid w:val="00F80AC3"/>
    <w:rsid w:val="00F80BB6"/>
    <w:rsid w:val="00F80EE0"/>
    <w:rsid w:val="00F8114F"/>
    <w:rsid w:val="00F81214"/>
    <w:rsid w:val="00F81387"/>
    <w:rsid w:val="00F81644"/>
    <w:rsid w:val="00F817B8"/>
    <w:rsid w:val="00F818E8"/>
    <w:rsid w:val="00F8199D"/>
    <w:rsid w:val="00F81D1D"/>
    <w:rsid w:val="00F81D66"/>
    <w:rsid w:val="00F8202E"/>
    <w:rsid w:val="00F82134"/>
    <w:rsid w:val="00F822E3"/>
    <w:rsid w:val="00F8257B"/>
    <w:rsid w:val="00F826EB"/>
    <w:rsid w:val="00F82866"/>
    <w:rsid w:val="00F82AFC"/>
    <w:rsid w:val="00F82F03"/>
    <w:rsid w:val="00F82F2F"/>
    <w:rsid w:val="00F83161"/>
    <w:rsid w:val="00F83226"/>
    <w:rsid w:val="00F8351A"/>
    <w:rsid w:val="00F83871"/>
    <w:rsid w:val="00F839FC"/>
    <w:rsid w:val="00F83B28"/>
    <w:rsid w:val="00F83B94"/>
    <w:rsid w:val="00F841FB"/>
    <w:rsid w:val="00F84421"/>
    <w:rsid w:val="00F8449B"/>
    <w:rsid w:val="00F845DB"/>
    <w:rsid w:val="00F84B44"/>
    <w:rsid w:val="00F84C6B"/>
    <w:rsid w:val="00F84CEB"/>
    <w:rsid w:val="00F84DF2"/>
    <w:rsid w:val="00F84EF6"/>
    <w:rsid w:val="00F85691"/>
    <w:rsid w:val="00F8589F"/>
    <w:rsid w:val="00F85F3F"/>
    <w:rsid w:val="00F862F1"/>
    <w:rsid w:val="00F866D1"/>
    <w:rsid w:val="00F86749"/>
    <w:rsid w:val="00F86A33"/>
    <w:rsid w:val="00F86E97"/>
    <w:rsid w:val="00F87032"/>
    <w:rsid w:val="00F87094"/>
    <w:rsid w:val="00F87138"/>
    <w:rsid w:val="00F8760B"/>
    <w:rsid w:val="00F87612"/>
    <w:rsid w:val="00F87954"/>
    <w:rsid w:val="00F87AB3"/>
    <w:rsid w:val="00F9054D"/>
    <w:rsid w:val="00F913DC"/>
    <w:rsid w:val="00F91504"/>
    <w:rsid w:val="00F91723"/>
    <w:rsid w:val="00F919DF"/>
    <w:rsid w:val="00F91CB2"/>
    <w:rsid w:val="00F91DDA"/>
    <w:rsid w:val="00F91DDE"/>
    <w:rsid w:val="00F92620"/>
    <w:rsid w:val="00F9285D"/>
    <w:rsid w:val="00F92C42"/>
    <w:rsid w:val="00F92E82"/>
    <w:rsid w:val="00F9310D"/>
    <w:rsid w:val="00F93199"/>
    <w:rsid w:val="00F933F2"/>
    <w:rsid w:val="00F93881"/>
    <w:rsid w:val="00F9397A"/>
    <w:rsid w:val="00F93A37"/>
    <w:rsid w:val="00F93AB2"/>
    <w:rsid w:val="00F93CC5"/>
    <w:rsid w:val="00F94182"/>
    <w:rsid w:val="00F9431F"/>
    <w:rsid w:val="00F944D9"/>
    <w:rsid w:val="00F9481B"/>
    <w:rsid w:val="00F94A0D"/>
    <w:rsid w:val="00F94B96"/>
    <w:rsid w:val="00F94D31"/>
    <w:rsid w:val="00F94DB3"/>
    <w:rsid w:val="00F9553B"/>
    <w:rsid w:val="00F9595F"/>
    <w:rsid w:val="00F95A5F"/>
    <w:rsid w:val="00F95B35"/>
    <w:rsid w:val="00F95F34"/>
    <w:rsid w:val="00F95F9E"/>
    <w:rsid w:val="00F961F6"/>
    <w:rsid w:val="00F96500"/>
    <w:rsid w:val="00F96514"/>
    <w:rsid w:val="00F96596"/>
    <w:rsid w:val="00F96C87"/>
    <w:rsid w:val="00F96E17"/>
    <w:rsid w:val="00F977BE"/>
    <w:rsid w:val="00F97A83"/>
    <w:rsid w:val="00F97DFD"/>
    <w:rsid w:val="00FA01F7"/>
    <w:rsid w:val="00FA0287"/>
    <w:rsid w:val="00FA0516"/>
    <w:rsid w:val="00FA08DA"/>
    <w:rsid w:val="00FA1089"/>
    <w:rsid w:val="00FA10F6"/>
    <w:rsid w:val="00FA1EDB"/>
    <w:rsid w:val="00FA1FC4"/>
    <w:rsid w:val="00FA23FB"/>
    <w:rsid w:val="00FA2756"/>
    <w:rsid w:val="00FA2C35"/>
    <w:rsid w:val="00FA2EA0"/>
    <w:rsid w:val="00FA2FA9"/>
    <w:rsid w:val="00FA31D1"/>
    <w:rsid w:val="00FA31E7"/>
    <w:rsid w:val="00FA3CF3"/>
    <w:rsid w:val="00FA3DC3"/>
    <w:rsid w:val="00FA413A"/>
    <w:rsid w:val="00FA4144"/>
    <w:rsid w:val="00FA4409"/>
    <w:rsid w:val="00FA4661"/>
    <w:rsid w:val="00FA4DDF"/>
    <w:rsid w:val="00FA4EB0"/>
    <w:rsid w:val="00FA52D3"/>
    <w:rsid w:val="00FA5412"/>
    <w:rsid w:val="00FA580A"/>
    <w:rsid w:val="00FA5C71"/>
    <w:rsid w:val="00FA5CF1"/>
    <w:rsid w:val="00FA60E3"/>
    <w:rsid w:val="00FA645E"/>
    <w:rsid w:val="00FA66C5"/>
    <w:rsid w:val="00FA6A01"/>
    <w:rsid w:val="00FA6AB5"/>
    <w:rsid w:val="00FA6B66"/>
    <w:rsid w:val="00FA6E7F"/>
    <w:rsid w:val="00FA7114"/>
    <w:rsid w:val="00FA7A0C"/>
    <w:rsid w:val="00FA7B92"/>
    <w:rsid w:val="00FB049A"/>
    <w:rsid w:val="00FB052D"/>
    <w:rsid w:val="00FB1415"/>
    <w:rsid w:val="00FB145D"/>
    <w:rsid w:val="00FB1469"/>
    <w:rsid w:val="00FB167E"/>
    <w:rsid w:val="00FB1A41"/>
    <w:rsid w:val="00FB1F3A"/>
    <w:rsid w:val="00FB1FC8"/>
    <w:rsid w:val="00FB22D7"/>
    <w:rsid w:val="00FB2379"/>
    <w:rsid w:val="00FB24B5"/>
    <w:rsid w:val="00FB24F0"/>
    <w:rsid w:val="00FB2AB5"/>
    <w:rsid w:val="00FB2C99"/>
    <w:rsid w:val="00FB3624"/>
    <w:rsid w:val="00FB3661"/>
    <w:rsid w:val="00FB3750"/>
    <w:rsid w:val="00FB3CB7"/>
    <w:rsid w:val="00FB3E10"/>
    <w:rsid w:val="00FB3F1F"/>
    <w:rsid w:val="00FB401D"/>
    <w:rsid w:val="00FB41FC"/>
    <w:rsid w:val="00FB4B8A"/>
    <w:rsid w:val="00FB4DE5"/>
    <w:rsid w:val="00FB4F43"/>
    <w:rsid w:val="00FB5140"/>
    <w:rsid w:val="00FB5152"/>
    <w:rsid w:val="00FB52D4"/>
    <w:rsid w:val="00FB5577"/>
    <w:rsid w:val="00FB563B"/>
    <w:rsid w:val="00FB58B8"/>
    <w:rsid w:val="00FB5A98"/>
    <w:rsid w:val="00FB5F8F"/>
    <w:rsid w:val="00FB6324"/>
    <w:rsid w:val="00FB680E"/>
    <w:rsid w:val="00FB6904"/>
    <w:rsid w:val="00FB6B73"/>
    <w:rsid w:val="00FB6CD9"/>
    <w:rsid w:val="00FB7240"/>
    <w:rsid w:val="00FB7A0B"/>
    <w:rsid w:val="00FB7E61"/>
    <w:rsid w:val="00FB7F58"/>
    <w:rsid w:val="00FC0065"/>
    <w:rsid w:val="00FC040C"/>
    <w:rsid w:val="00FC062F"/>
    <w:rsid w:val="00FC069F"/>
    <w:rsid w:val="00FC0754"/>
    <w:rsid w:val="00FC0F87"/>
    <w:rsid w:val="00FC154D"/>
    <w:rsid w:val="00FC1571"/>
    <w:rsid w:val="00FC15D6"/>
    <w:rsid w:val="00FC2DB8"/>
    <w:rsid w:val="00FC2FC7"/>
    <w:rsid w:val="00FC31B4"/>
    <w:rsid w:val="00FC33B2"/>
    <w:rsid w:val="00FC389D"/>
    <w:rsid w:val="00FC3A3F"/>
    <w:rsid w:val="00FC3AEE"/>
    <w:rsid w:val="00FC4128"/>
    <w:rsid w:val="00FC43CE"/>
    <w:rsid w:val="00FC43E7"/>
    <w:rsid w:val="00FC4521"/>
    <w:rsid w:val="00FC47A6"/>
    <w:rsid w:val="00FC48BE"/>
    <w:rsid w:val="00FC4AC5"/>
    <w:rsid w:val="00FC4EB3"/>
    <w:rsid w:val="00FC50DE"/>
    <w:rsid w:val="00FC577F"/>
    <w:rsid w:val="00FC58DE"/>
    <w:rsid w:val="00FC604F"/>
    <w:rsid w:val="00FC6238"/>
    <w:rsid w:val="00FC62E1"/>
    <w:rsid w:val="00FC6371"/>
    <w:rsid w:val="00FC6385"/>
    <w:rsid w:val="00FC6587"/>
    <w:rsid w:val="00FC6655"/>
    <w:rsid w:val="00FC66FD"/>
    <w:rsid w:val="00FC67AF"/>
    <w:rsid w:val="00FC6A76"/>
    <w:rsid w:val="00FC7068"/>
    <w:rsid w:val="00FC7599"/>
    <w:rsid w:val="00FC7926"/>
    <w:rsid w:val="00FC7951"/>
    <w:rsid w:val="00FC7EAE"/>
    <w:rsid w:val="00FD0622"/>
    <w:rsid w:val="00FD08ED"/>
    <w:rsid w:val="00FD0A12"/>
    <w:rsid w:val="00FD0F17"/>
    <w:rsid w:val="00FD10F3"/>
    <w:rsid w:val="00FD19E5"/>
    <w:rsid w:val="00FD236B"/>
    <w:rsid w:val="00FD242F"/>
    <w:rsid w:val="00FD2785"/>
    <w:rsid w:val="00FD2E65"/>
    <w:rsid w:val="00FD33FC"/>
    <w:rsid w:val="00FD3447"/>
    <w:rsid w:val="00FD34CC"/>
    <w:rsid w:val="00FD3730"/>
    <w:rsid w:val="00FD3ADE"/>
    <w:rsid w:val="00FD3B08"/>
    <w:rsid w:val="00FD3CB1"/>
    <w:rsid w:val="00FD3FD3"/>
    <w:rsid w:val="00FD4101"/>
    <w:rsid w:val="00FD4493"/>
    <w:rsid w:val="00FD470B"/>
    <w:rsid w:val="00FD4806"/>
    <w:rsid w:val="00FD48C4"/>
    <w:rsid w:val="00FD4BA4"/>
    <w:rsid w:val="00FD50E2"/>
    <w:rsid w:val="00FD534E"/>
    <w:rsid w:val="00FD56C7"/>
    <w:rsid w:val="00FD5812"/>
    <w:rsid w:val="00FD5890"/>
    <w:rsid w:val="00FD5CBB"/>
    <w:rsid w:val="00FD6156"/>
    <w:rsid w:val="00FD61A3"/>
    <w:rsid w:val="00FD63BB"/>
    <w:rsid w:val="00FD6564"/>
    <w:rsid w:val="00FD6633"/>
    <w:rsid w:val="00FD6A69"/>
    <w:rsid w:val="00FD6A7A"/>
    <w:rsid w:val="00FD6B74"/>
    <w:rsid w:val="00FD6BCD"/>
    <w:rsid w:val="00FD6CB6"/>
    <w:rsid w:val="00FD6D10"/>
    <w:rsid w:val="00FD6F99"/>
    <w:rsid w:val="00FD70AE"/>
    <w:rsid w:val="00FD737F"/>
    <w:rsid w:val="00FD7829"/>
    <w:rsid w:val="00FD7C3C"/>
    <w:rsid w:val="00FD7D9F"/>
    <w:rsid w:val="00FD7E36"/>
    <w:rsid w:val="00FE002E"/>
    <w:rsid w:val="00FE03C8"/>
    <w:rsid w:val="00FE058E"/>
    <w:rsid w:val="00FE06CC"/>
    <w:rsid w:val="00FE10FA"/>
    <w:rsid w:val="00FE118C"/>
    <w:rsid w:val="00FE1722"/>
    <w:rsid w:val="00FE19CF"/>
    <w:rsid w:val="00FE1AD4"/>
    <w:rsid w:val="00FE22E0"/>
    <w:rsid w:val="00FE2398"/>
    <w:rsid w:val="00FE255F"/>
    <w:rsid w:val="00FE26BD"/>
    <w:rsid w:val="00FE2E2B"/>
    <w:rsid w:val="00FE319F"/>
    <w:rsid w:val="00FE3308"/>
    <w:rsid w:val="00FE330B"/>
    <w:rsid w:val="00FE330C"/>
    <w:rsid w:val="00FE3373"/>
    <w:rsid w:val="00FE35FB"/>
    <w:rsid w:val="00FE36F9"/>
    <w:rsid w:val="00FE3761"/>
    <w:rsid w:val="00FE3AD9"/>
    <w:rsid w:val="00FE3D2C"/>
    <w:rsid w:val="00FE3D92"/>
    <w:rsid w:val="00FE3E57"/>
    <w:rsid w:val="00FE462A"/>
    <w:rsid w:val="00FE4D03"/>
    <w:rsid w:val="00FE4D90"/>
    <w:rsid w:val="00FE4DAA"/>
    <w:rsid w:val="00FE4EA8"/>
    <w:rsid w:val="00FE5115"/>
    <w:rsid w:val="00FE515A"/>
    <w:rsid w:val="00FE5421"/>
    <w:rsid w:val="00FE5624"/>
    <w:rsid w:val="00FE5CBE"/>
    <w:rsid w:val="00FE5D2C"/>
    <w:rsid w:val="00FE5E67"/>
    <w:rsid w:val="00FE5FBF"/>
    <w:rsid w:val="00FE6224"/>
    <w:rsid w:val="00FE64FD"/>
    <w:rsid w:val="00FE6C25"/>
    <w:rsid w:val="00FE787F"/>
    <w:rsid w:val="00FF014E"/>
    <w:rsid w:val="00FF033A"/>
    <w:rsid w:val="00FF03BF"/>
    <w:rsid w:val="00FF06C2"/>
    <w:rsid w:val="00FF0964"/>
    <w:rsid w:val="00FF0B9E"/>
    <w:rsid w:val="00FF0F67"/>
    <w:rsid w:val="00FF16F2"/>
    <w:rsid w:val="00FF175B"/>
    <w:rsid w:val="00FF1CB7"/>
    <w:rsid w:val="00FF1F9B"/>
    <w:rsid w:val="00FF1FF2"/>
    <w:rsid w:val="00FF2151"/>
    <w:rsid w:val="00FF2525"/>
    <w:rsid w:val="00FF26CF"/>
    <w:rsid w:val="00FF27C6"/>
    <w:rsid w:val="00FF2AE7"/>
    <w:rsid w:val="00FF2B42"/>
    <w:rsid w:val="00FF2CA1"/>
    <w:rsid w:val="00FF2D2A"/>
    <w:rsid w:val="00FF2D5B"/>
    <w:rsid w:val="00FF2EBA"/>
    <w:rsid w:val="00FF316E"/>
    <w:rsid w:val="00FF3400"/>
    <w:rsid w:val="00FF3800"/>
    <w:rsid w:val="00FF3ACB"/>
    <w:rsid w:val="00FF3B7F"/>
    <w:rsid w:val="00FF3C7F"/>
    <w:rsid w:val="00FF4731"/>
    <w:rsid w:val="00FF4A56"/>
    <w:rsid w:val="00FF4C2E"/>
    <w:rsid w:val="00FF4C8E"/>
    <w:rsid w:val="00FF4EAA"/>
    <w:rsid w:val="00FF4F8A"/>
    <w:rsid w:val="00FF4F92"/>
    <w:rsid w:val="00FF54EB"/>
    <w:rsid w:val="00FF5844"/>
    <w:rsid w:val="00FF5EE1"/>
    <w:rsid w:val="00FF5FD2"/>
    <w:rsid w:val="00FF61A8"/>
    <w:rsid w:val="00FF66B8"/>
    <w:rsid w:val="00FF674F"/>
    <w:rsid w:val="00FF6822"/>
    <w:rsid w:val="00FF698D"/>
    <w:rsid w:val="00FF69FF"/>
    <w:rsid w:val="00FF705E"/>
    <w:rsid w:val="00FF73D0"/>
    <w:rsid w:val="00FF75B0"/>
    <w:rsid w:val="011B415A"/>
    <w:rsid w:val="013806E4"/>
    <w:rsid w:val="018ECA35"/>
    <w:rsid w:val="0194D8D9"/>
    <w:rsid w:val="01F4E77E"/>
    <w:rsid w:val="020A9AB8"/>
    <w:rsid w:val="0215B1C5"/>
    <w:rsid w:val="021723A9"/>
    <w:rsid w:val="0231A01D"/>
    <w:rsid w:val="02373EB4"/>
    <w:rsid w:val="02B15248"/>
    <w:rsid w:val="02D809B4"/>
    <w:rsid w:val="02D94666"/>
    <w:rsid w:val="03153E80"/>
    <w:rsid w:val="032D0C3C"/>
    <w:rsid w:val="033B9C4D"/>
    <w:rsid w:val="035276E8"/>
    <w:rsid w:val="037066B4"/>
    <w:rsid w:val="0374FA54"/>
    <w:rsid w:val="037718E5"/>
    <w:rsid w:val="039F21C4"/>
    <w:rsid w:val="03ACCB34"/>
    <w:rsid w:val="03EA8BD6"/>
    <w:rsid w:val="03FD3E18"/>
    <w:rsid w:val="040ED80E"/>
    <w:rsid w:val="044E27D5"/>
    <w:rsid w:val="044E2BF3"/>
    <w:rsid w:val="046EBB50"/>
    <w:rsid w:val="0495A7E4"/>
    <w:rsid w:val="04B7C1EC"/>
    <w:rsid w:val="04DA417E"/>
    <w:rsid w:val="0511B480"/>
    <w:rsid w:val="0553840C"/>
    <w:rsid w:val="0558ECBE"/>
    <w:rsid w:val="056445BB"/>
    <w:rsid w:val="0587B5D1"/>
    <w:rsid w:val="059492A5"/>
    <w:rsid w:val="05C986AC"/>
    <w:rsid w:val="05E462E4"/>
    <w:rsid w:val="05E7A1B5"/>
    <w:rsid w:val="065C85CB"/>
    <w:rsid w:val="065CDE13"/>
    <w:rsid w:val="06630C10"/>
    <w:rsid w:val="066CBECB"/>
    <w:rsid w:val="06820489"/>
    <w:rsid w:val="068A939D"/>
    <w:rsid w:val="06A0CF66"/>
    <w:rsid w:val="06AB4850"/>
    <w:rsid w:val="06CA5BDE"/>
    <w:rsid w:val="06D217F4"/>
    <w:rsid w:val="070E3871"/>
    <w:rsid w:val="07177D43"/>
    <w:rsid w:val="0720021A"/>
    <w:rsid w:val="073AEF7D"/>
    <w:rsid w:val="0753B3B7"/>
    <w:rsid w:val="07DB7FC5"/>
    <w:rsid w:val="082247B3"/>
    <w:rsid w:val="088848B5"/>
    <w:rsid w:val="089335A2"/>
    <w:rsid w:val="08B7A3CD"/>
    <w:rsid w:val="09024C07"/>
    <w:rsid w:val="0943A981"/>
    <w:rsid w:val="0967596F"/>
    <w:rsid w:val="096F3077"/>
    <w:rsid w:val="09BC0CD0"/>
    <w:rsid w:val="09C8B8F0"/>
    <w:rsid w:val="09D51F43"/>
    <w:rsid w:val="09FEE3CB"/>
    <w:rsid w:val="0A316A8E"/>
    <w:rsid w:val="0A42E8C4"/>
    <w:rsid w:val="0A537570"/>
    <w:rsid w:val="0A86C67E"/>
    <w:rsid w:val="0AC133EB"/>
    <w:rsid w:val="0AD101E8"/>
    <w:rsid w:val="0AE3B7A1"/>
    <w:rsid w:val="0AE4DBDC"/>
    <w:rsid w:val="0BB658B3"/>
    <w:rsid w:val="0BCA87F0"/>
    <w:rsid w:val="0BD239BE"/>
    <w:rsid w:val="0BE59298"/>
    <w:rsid w:val="0BF087B8"/>
    <w:rsid w:val="0BF6EB2C"/>
    <w:rsid w:val="0C157E70"/>
    <w:rsid w:val="0C334248"/>
    <w:rsid w:val="0C3EED39"/>
    <w:rsid w:val="0C416180"/>
    <w:rsid w:val="0C51741B"/>
    <w:rsid w:val="0C640EED"/>
    <w:rsid w:val="0C67263A"/>
    <w:rsid w:val="0C735ABD"/>
    <w:rsid w:val="0CD48F6A"/>
    <w:rsid w:val="0D1FCB96"/>
    <w:rsid w:val="0D2FD575"/>
    <w:rsid w:val="0D3D4A3B"/>
    <w:rsid w:val="0D620325"/>
    <w:rsid w:val="0D91945D"/>
    <w:rsid w:val="0DB92FA3"/>
    <w:rsid w:val="0DCE3ABA"/>
    <w:rsid w:val="0DD2AA96"/>
    <w:rsid w:val="0DE418A8"/>
    <w:rsid w:val="0DFF10DE"/>
    <w:rsid w:val="0E00B9BC"/>
    <w:rsid w:val="0E2912C8"/>
    <w:rsid w:val="0E49D67A"/>
    <w:rsid w:val="0E5CDE4B"/>
    <w:rsid w:val="0E69EFB1"/>
    <w:rsid w:val="0E7E6565"/>
    <w:rsid w:val="0EA90C54"/>
    <w:rsid w:val="0EA92895"/>
    <w:rsid w:val="0EA9F77B"/>
    <w:rsid w:val="0EBDF676"/>
    <w:rsid w:val="0ED9DBDD"/>
    <w:rsid w:val="0F029E7D"/>
    <w:rsid w:val="0F246D53"/>
    <w:rsid w:val="0F542336"/>
    <w:rsid w:val="0F64145E"/>
    <w:rsid w:val="0FA740BD"/>
    <w:rsid w:val="0FCF6B91"/>
    <w:rsid w:val="0FD3656F"/>
    <w:rsid w:val="0FE1FADC"/>
    <w:rsid w:val="103A18CD"/>
    <w:rsid w:val="1056ADA5"/>
    <w:rsid w:val="107C5ED1"/>
    <w:rsid w:val="10835337"/>
    <w:rsid w:val="10876FE9"/>
    <w:rsid w:val="108F7553"/>
    <w:rsid w:val="10E39114"/>
    <w:rsid w:val="10E807B4"/>
    <w:rsid w:val="11299C83"/>
    <w:rsid w:val="11AEF863"/>
    <w:rsid w:val="11CC82E0"/>
    <w:rsid w:val="11D2D7F6"/>
    <w:rsid w:val="11DBE9AB"/>
    <w:rsid w:val="11EA739C"/>
    <w:rsid w:val="11FA01A6"/>
    <w:rsid w:val="1212AD61"/>
    <w:rsid w:val="1237E55A"/>
    <w:rsid w:val="1297E3FC"/>
    <w:rsid w:val="12D269F6"/>
    <w:rsid w:val="12DE9400"/>
    <w:rsid w:val="12F3CF74"/>
    <w:rsid w:val="132F735E"/>
    <w:rsid w:val="133E83A3"/>
    <w:rsid w:val="1350BB42"/>
    <w:rsid w:val="1365D38D"/>
    <w:rsid w:val="13665938"/>
    <w:rsid w:val="13C24A68"/>
    <w:rsid w:val="13E0B1DA"/>
    <w:rsid w:val="13E1430B"/>
    <w:rsid w:val="13E992FF"/>
    <w:rsid w:val="14087F3B"/>
    <w:rsid w:val="141204DA"/>
    <w:rsid w:val="14C0D45B"/>
    <w:rsid w:val="14FFC4D6"/>
    <w:rsid w:val="15005306"/>
    <w:rsid w:val="151A4C82"/>
    <w:rsid w:val="1565E40E"/>
    <w:rsid w:val="1585DF10"/>
    <w:rsid w:val="159B3D5B"/>
    <w:rsid w:val="15B029D9"/>
    <w:rsid w:val="15CB8A45"/>
    <w:rsid w:val="15F2F7D9"/>
    <w:rsid w:val="16060A59"/>
    <w:rsid w:val="1649FC40"/>
    <w:rsid w:val="16512788"/>
    <w:rsid w:val="1652A747"/>
    <w:rsid w:val="16A8C5EA"/>
    <w:rsid w:val="16E60FEF"/>
    <w:rsid w:val="16FC4206"/>
    <w:rsid w:val="1710A020"/>
    <w:rsid w:val="178DBBD6"/>
    <w:rsid w:val="17B41726"/>
    <w:rsid w:val="17C28845"/>
    <w:rsid w:val="17F9322B"/>
    <w:rsid w:val="18154208"/>
    <w:rsid w:val="1823DAF7"/>
    <w:rsid w:val="1834A509"/>
    <w:rsid w:val="185AAA91"/>
    <w:rsid w:val="18653565"/>
    <w:rsid w:val="18741F15"/>
    <w:rsid w:val="188CC4C8"/>
    <w:rsid w:val="189582AC"/>
    <w:rsid w:val="18979056"/>
    <w:rsid w:val="189E0B7F"/>
    <w:rsid w:val="18B1F25B"/>
    <w:rsid w:val="18D9A1FC"/>
    <w:rsid w:val="18EC1EE7"/>
    <w:rsid w:val="18FB89A2"/>
    <w:rsid w:val="191577C1"/>
    <w:rsid w:val="198D58F2"/>
    <w:rsid w:val="198DFA96"/>
    <w:rsid w:val="19B07F42"/>
    <w:rsid w:val="1A219784"/>
    <w:rsid w:val="1A235838"/>
    <w:rsid w:val="1A5B9BEA"/>
    <w:rsid w:val="1A6043C9"/>
    <w:rsid w:val="1A6C2832"/>
    <w:rsid w:val="1A966891"/>
    <w:rsid w:val="1AAC69AB"/>
    <w:rsid w:val="1ACAF8D6"/>
    <w:rsid w:val="1AE97B19"/>
    <w:rsid w:val="1AF1C022"/>
    <w:rsid w:val="1AF80D7F"/>
    <w:rsid w:val="1B136709"/>
    <w:rsid w:val="1B1B0DFA"/>
    <w:rsid w:val="1B2B924C"/>
    <w:rsid w:val="1B2D61F8"/>
    <w:rsid w:val="1B569C51"/>
    <w:rsid w:val="1B65F84C"/>
    <w:rsid w:val="1B76C62C"/>
    <w:rsid w:val="1B80094E"/>
    <w:rsid w:val="1B8646DA"/>
    <w:rsid w:val="1B9C4A54"/>
    <w:rsid w:val="1BF01C62"/>
    <w:rsid w:val="1BF4A55E"/>
    <w:rsid w:val="1C0217B5"/>
    <w:rsid w:val="1C0681D7"/>
    <w:rsid w:val="1C7F1010"/>
    <w:rsid w:val="1CAA0801"/>
    <w:rsid w:val="1CF37D46"/>
    <w:rsid w:val="1D1C0E34"/>
    <w:rsid w:val="1D55F14B"/>
    <w:rsid w:val="1D964E20"/>
    <w:rsid w:val="1D9C9AF3"/>
    <w:rsid w:val="1DB36EA8"/>
    <w:rsid w:val="1DB62197"/>
    <w:rsid w:val="1DC2AEBE"/>
    <w:rsid w:val="1DC61960"/>
    <w:rsid w:val="1DED5469"/>
    <w:rsid w:val="1E08B050"/>
    <w:rsid w:val="1E5547A5"/>
    <w:rsid w:val="1E5AFBFD"/>
    <w:rsid w:val="1E5D670E"/>
    <w:rsid w:val="1EC54C41"/>
    <w:rsid w:val="1EF980BA"/>
    <w:rsid w:val="1EFC7AE1"/>
    <w:rsid w:val="1F059416"/>
    <w:rsid w:val="1F107DB5"/>
    <w:rsid w:val="1F25A006"/>
    <w:rsid w:val="1F2F882F"/>
    <w:rsid w:val="1F5A9801"/>
    <w:rsid w:val="1F792150"/>
    <w:rsid w:val="1F8E480A"/>
    <w:rsid w:val="1FBB1432"/>
    <w:rsid w:val="1FC66182"/>
    <w:rsid w:val="20134AEC"/>
    <w:rsid w:val="204C9FAA"/>
    <w:rsid w:val="2062B94D"/>
    <w:rsid w:val="20A38CC4"/>
    <w:rsid w:val="20CC22B9"/>
    <w:rsid w:val="21806803"/>
    <w:rsid w:val="21A70FDF"/>
    <w:rsid w:val="21B0322E"/>
    <w:rsid w:val="21F3BEF7"/>
    <w:rsid w:val="2237D8F6"/>
    <w:rsid w:val="2255FD77"/>
    <w:rsid w:val="225753F5"/>
    <w:rsid w:val="225AECEE"/>
    <w:rsid w:val="22B2155F"/>
    <w:rsid w:val="22F887D6"/>
    <w:rsid w:val="22F9D507"/>
    <w:rsid w:val="237D81FB"/>
    <w:rsid w:val="2394A6B8"/>
    <w:rsid w:val="23B52E2B"/>
    <w:rsid w:val="23D1D12C"/>
    <w:rsid w:val="23D35182"/>
    <w:rsid w:val="23EB0BC3"/>
    <w:rsid w:val="23EBB0E6"/>
    <w:rsid w:val="23F95DF0"/>
    <w:rsid w:val="24284888"/>
    <w:rsid w:val="242FBB67"/>
    <w:rsid w:val="243EB9D5"/>
    <w:rsid w:val="244B752A"/>
    <w:rsid w:val="24A4CF88"/>
    <w:rsid w:val="24BFEA3C"/>
    <w:rsid w:val="253648E2"/>
    <w:rsid w:val="253F9D09"/>
    <w:rsid w:val="25A3BD9A"/>
    <w:rsid w:val="25A5E125"/>
    <w:rsid w:val="25D7AA03"/>
    <w:rsid w:val="261B9583"/>
    <w:rsid w:val="264A5802"/>
    <w:rsid w:val="265748C2"/>
    <w:rsid w:val="266646B7"/>
    <w:rsid w:val="2671B7C7"/>
    <w:rsid w:val="26757DDA"/>
    <w:rsid w:val="267CE9BE"/>
    <w:rsid w:val="268C1E40"/>
    <w:rsid w:val="268D6039"/>
    <w:rsid w:val="26FE7418"/>
    <w:rsid w:val="270A0720"/>
    <w:rsid w:val="272B362D"/>
    <w:rsid w:val="2773CEF4"/>
    <w:rsid w:val="277ADB90"/>
    <w:rsid w:val="27AA53CE"/>
    <w:rsid w:val="27C9751E"/>
    <w:rsid w:val="27EA35F0"/>
    <w:rsid w:val="2802788F"/>
    <w:rsid w:val="280E83B1"/>
    <w:rsid w:val="28354D69"/>
    <w:rsid w:val="2854A1FD"/>
    <w:rsid w:val="286E9B2B"/>
    <w:rsid w:val="2881C682"/>
    <w:rsid w:val="288E78CE"/>
    <w:rsid w:val="28DF9147"/>
    <w:rsid w:val="28F1A2DB"/>
    <w:rsid w:val="291A794E"/>
    <w:rsid w:val="2930FF90"/>
    <w:rsid w:val="295565E9"/>
    <w:rsid w:val="2970612C"/>
    <w:rsid w:val="29A5EEDF"/>
    <w:rsid w:val="29B090EF"/>
    <w:rsid w:val="29F55F1A"/>
    <w:rsid w:val="29F687B3"/>
    <w:rsid w:val="29FFDF07"/>
    <w:rsid w:val="2A060897"/>
    <w:rsid w:val="2A2B8073"/>
    <w:rsid w:val="2A4CCC9C"/>
    <w:rsid w:val="2A54A8FD"/>
    <w:rsid w:val="2A733B32"/>
    <w:rsid w:val="2A773236"/>
    <w:rsid w:val="2A973D4F"/>
    <w:rsid w:val="2A9AC095"/>
    <w:rsid w:val="2AB10EE4"/>
    <w:rsid w:val="2AC8E68A"/>
    <w:rsid w:val="2B0B0503"/>
    <w:rsid w:val="2B7CEC99"/>
    <w:rsid w:val="2B859C96"/>
    <w:rsid w:val="2BB00B65"/>
    <w:rsid w:val="2BD2BE38"/>
    <w:rsid w:val="2BD3B289"/>
    <w:rsid w:val="2BF5BF8B"/>
    <w:rsid w:val="2C23DC85"/>
    <w:rsid w:val="2C50128E"/>
    <w:rsid w:val="2CA2124B"/>
    <w:rsid w:val="2CA64460"/>
    <w:rsid w:val="2CAECE5D"/>
    <w:rsid w:val="2CB718BD"/>
    <w:rsid w:val="2CE53654"/>
    <w:rsid w:val="2CE9633A"/>
    <w:rsid w:val="2D09A7D7"/>
    <w:rsid w:val="2D131769"/>
    <w:rsid w:val="2D822B5E"/>
    <w:rsid w:val="2DA29578"/>
    <w:rsid w:val="2E1FC3E8"/>
    <w:rsid w:val="2E2FABAB"/>
    <w:rsid w:val="2E7DEA5F"/>
    <w:rsid w:val="2EAA35BA"/>
    <w:rsid w:val="2EAB58D0"/>
    <w:rsid w:val="2EC56EBA"/>
    <w:rsid w:val="2EDC5850"/>
    <w:rsid w:val="2EDC5E11"/>
    <w:rsid w:val="2EEA6886"/>
    <w:rsid w:val="2F4A7750"/>
    <w:rsid w:val="2FB0DA21"/>
    <w:rsid w:val="2FB650A9"/>
    <w:rsid w:val="2FE40DFE"/>
    <w:rsid w:val="2FF55101"/>
    <w:rsid w:val="2FFD8A63"/>
    <w:rsid w:val="3009AC63"/>
    <w:rsid w:val="30614C68"/>
    <w:rsid w:val="30760B2E"/>
    <w:rsid w:val="307724F3"/>
    <w:rsid w:val="307F9648"/>
    <w:rsid w:val="30BC2D16"/>
    <w:rsid w:val="30D49D64"/>
    <w:rsid w:val="30F69B0D"/>
    <w:rsid w:val="3134AB45"/>
    <w:rsid w:val="3136A1DB"/>
    <w:rsid w:val="316B8166"/>
    <w:rsid w:val="3172261D"/>
    <w:rsid w:val="31835F79"/>
    <w:rsid w:val="31B5AF7E"/>
    <w:rsid w:val="3203C5E4"/>
    <w:rsid w:val="32430D59"/>
    <w:rsid w:val="325AAABB"/>
    <w:rsid w:val="3289BE4F"/>
    <w:rsid w:val="328D9161"/>
    <w:rsid w:val="32975CEE"/>
    <w:rsid w:val="32D9E61F"/>
    <w:rsid w:val="330D484E"/>
    <w:rsid w:val="331B5388"/>
    <w:rsid w:val="333A0643"/>
    <w:rsid w:val="333AE833"/>
    <w:rsid w:val="3354DB59"/>
    <w:rsid w:val="335C35AB"/>
    <w:rsid w:val="335F4385"/>
    <w:rsid w:val="33B326B1"/>
    <w:rsid w:val="33C7CDBA"/>
    <w:rsid w:val="33D3A50F"/>
    <w:rsid w:val="3404884C"/>
    <w:rsid w:val="3406532A"/>
    <w:rsid w:val="3416A2D2"/>
    <w:rsid w:val="34515762"/>
    <w:rsid w:val="347F31B2"/>
    <w:rsid w:val="3482AE53"/>
    <w:rsid w:val="34AD3A1C"/>
    <w:rsid w:val="34B9678D"/>
    <w:rsid w:val="34DEF228"/>
    <w:rsid w:val="35330018"/>
    <w:rsid w:val="35795578"/>
    <w:rsid w:val="357AF944"/>
    <w:rsid w:val="3594618F"/>
    <w:rsid w:val="359E34BC"/>
    <w:rsid w:val="35DCEBFD"/>
    <w:rsid w:val="36333509"/>
    <w:rsid w:val="366813F2"/>
    <w:rsid w:val="368892D6"/>
    <w:rsid w:val="36896B9D"/>
    <w:rsid w:val="36A160E4"/>
    <w:rsid w:val="36C035A9"/>
    <w:rsid w:val="36E8D26A"/>
    <w:rsid w:val="36FD61D5"/>
    <w:rsid w:val="3709E41D"/>
    <w:rsid w:val="372424F9"/>
    <w:rsid w:val="3733E1E2"/>
    <w:rsid w:val="373D7F8E"/>
    <w:rsid w:val="37C09FA7"/>
    <w:rsid w:val="37C7BAC1"/>
    <w:rsid w:val="37CD87FB"/>
    <w:rsid w:val="37DED5C0"/>
    <w:rsid w:val="38011F87"/>
    <w:rsid w:val="38149AA3"/>
    <w:rsid w:val="381FABD3"/>
    <w:rsid w:val="383EE578"/>
    <w:rsid w:val="383F513C"/>
    <w:rsid w:val="3861E060"/>
    <w:rsid w:val="3881C70A"/>
    <w:rsid w:val="38943CAB"/>
    <w:rsid w:val="38A7C73E"/>
    <w:rsid w:val="38B13FC4"/>
    <w:rsid w:val="390B85E3"/>
    <w:rsid w:val="39848E08"/>
    <w:rsid w:val="39976F86"/>
    <w:rsid w:val="39C0629C"/>
    <w:rsid w:val="39C7F2BD"/>
    <w:rsid w:val="39E83290"/>
    <w:rsid w:val="39FD98F6"/>
    <w:rsid w:val="3A316287"/>
    <w:rsid w:val="3A4F2679"/>
    <w:rsid w:val="3A5A4173"/>
    <w:rsid w:val="3A5C6EDF"/>
    <w:rsid w:val="3AA15511"/>
    <w:rsid w:val="3AAED7D4"/>
    <w:rsid w:val="3AE2FA1D"/>
    <w:rsid w:val="3B43D5F4"/>
    <w:rsid w:val="3B56B83C"/>
    <w:rsid w:val="3B5A24AD"/>
    <w:rsid w:val="3B71A44D"/>
    <w:rsid w:val="3BD229D2"/>
    <w:rsid w:val="3BF77A4A"/>
    <w:rsid w:val="3C28150A"/>
    <w:rsid w:val="3C482522"/>
    <w:rsid w:val="3C564E93"/>
    <w:rsid w:val="3C5ECFF6"/>
    <w:rsid w:val="3C716626"/>
    <w:rsid w:val="3C7C23FD"/>
    <w:rsid w:val="3C803077"/>
    <w:rsid w:val="3C9A813D"/>
    <w:rsid w:val="3CE39E5A"/>
    <w:rsid w:val="3D21EE21"/>
    <w:rsid w:val="3D36E7A4"/>
    <w:rsid w:val="3D3BC25B"/>
    <w:rsid w:val="3DA8AF27"/>
    <w:rsid w:val="3DAA1F36"/>
    <w:rsid w:val="3DAF9A02"/>
    <w:rsid w:val="3DE9C133"/>
    <w:rsid w:val="3E2F0135"/>
    <w:rsid w:val="3E36682B"/>
    <w:rsid w:val="3E61DC49"/>
    <w:rsid w:val="3E9063A9"/>
    <w:rsid w:val="3E9487B0"/>
    <w:rsid w:val="3EE6EC84"/>
    <w:rsid w:val="3EEE5F7C"/>
    <w:rsid w:val="3F00C539"/>
    <w:rsid w:val="3F0861C3"/>
    <w:rsid w:val="3F13B620"/>
    <w:rsid w:val="3F4AB15F"/>
    <w:rsid w:val="3F7072C4"/>
    <w:rsid w:val="3F73C126"/>
    <w:rsid w:val="3FE05CB7"/>
    <w:rsid w:val="4016DFC4"/>
    <w:rsid w:val="4023667C"/>
    <w:rsid w:val="40306981"/>
    <w:rsid w:val="40404F74"/>
    <w:rsid w:val="405BFEA3"/>
    <w:rsid w:val="407577DE"/>
    <w:rsid w:val="40991C15"/>
    <w:rsid w:val="40BBE2E8"/>
    <w:rsid w:val="40C7724F"/>
    <w:rsid w:val="40DAD61A"/>
    <w:rsid w:val="40F8EDA6"/>
    <w:rsid w:val="411A64DA"/>
    <w:rsid w:val="412A22BE"/>
    <w:rsid w:val="41609FE8"/>
    <w:rsid w:val="41610F8D"/>
    <w:rsid w:val="417F045C"/>
    <w:rsid w:val="4188723C"/>
    <w:rsid w:val="41AD2C6C"/>
    <w:rsid w:val="41B4B1CD"/>
    <w:rsid w:val="41D68F50"/>
    <w:rsid w:val="421987AD"/>
    <w:rsid w:val="423D3613"/>
    <w:rsid w:val="4249AC37"/>
    <w:rsid w:val="428519B4"/>
    <w:rsid w:val="428AF3E6"/>
    <w:rsid w:val="4295E040"/>
    <w:rsid w:val="42A1FDEA"/>
    <w:rsid w:val="42AA1910"/>
    <w:rsid w:val="42AB2AEE"/>
    <w:rsid w:val="42D39BB4"/>
    <w:rsid w:val="42D59BB1"/>
    <w:rsid w:val="431CB9A3"/>
    <w:rsid w:val="4347EC0A"/>
    <w:rsid w:val="435C4FE7"/>
    <w:rsid w:val="43733F8E"/>
    <w:rsid w:val="4389C66E"/>
    <w:rsid w:val="438A6769"/>
    <w:rsid w:val="439641AD"/>
    <w:rsid w:val="43B6BE08"/>
    <w:rsid w:val="43DB0754"/>
    <w:rsid w:val="43E1F3D2"/>
    <w:rsid w:val="442F2714"/>
    <w:rsid w:val="444DE17B"/>
    <w:rsid w:val="4468887B"/>
    <w:rsid w:val="4474029F"/>
    <w:rsid w:val="449AF4C4"/>
    <w:rsid w:val="44A7977B"/>
    <w:rsid w:val="44F4184B"/>
    <w:rsid w:val="454066AE"/>
    <w:rsid w:val="4542AA9A"/>
    <w:rsid w:val="4545579B"/>
    <w:rsid w:val="454D9E40"/>
    <w:rsid w:val="455C72EF"/>
    <w:rsid w:val="455D39F4"/>
    <w:rsid w:val="459D4ABC"/>
    <w:rsid w:val="45B0D546"/>
    <w:rsid w:val="45CB185C"/>
    <w:rsid w:val="45D5393D"/>
    <w:rsid w:val="45E19734"/>
    <w:rsid w:val="45F73139"/>
    <w:rsid w:val="460A504D"/>
    <w:rsid w:val="4636F67A"/>
    <w:rsid w:val="46640EE3"/>
    <w:rsid w:val="4676B551"/>
    <w:rsid w:val="4683738E"/>
    <w:rsid w:val="46C2AE87"/>
    <w:rsid w:val="46C2C325"/>
    <w:rsid w:val="46D74774"/>
    <w:rsid w:val="46F64246"/>
    <w:rsid w:val="472303F7"/>
    <w:rsid w:val="474B6629"/>
    <w:rsid w:val="4778379A"/>
    <w:rsid w:val="477FD9BB"/>
    <w:rsid w:val="47AFC628"/>
    <w:rsid w:val="47D91F34"/>
    <w:rsid w:val="47FFE047"/>
    <w:rsid w:val="48115CFB"/>
    <w:rsid w:val="481D75CB"/>
    <w:rsid w:val="481DFE1A"/>
    <w:rsid w:val="48A2FA8C"/>
    <w:rsid w:val="48B0E612"/>
    <w:rsid w:val="48BBC1D7"/>
    <w:rsid w:val="48CBD428"/>
    <w:rsid w:val="49061791"/>
    <w:rsid w:val="4926CE0D"/>
    <w:rsid w:val="494CE541"/>
    <w:rsid w:val="494EB118"/>
    <w:rsid w:val="496201E1"/>
    <w:rsid w:val="4979176C"/>
    <w:rsid w:val="4986218F"/>
    <w:rsid w:val="4995FA7F"/>
    <w:rsid w:val="49B1E8E5"/>
    <w:rsid w:val="49B5F8C8"/>
    <w:rsid w:val="49DFC3D7"/>
    <w:rsid w:val="49E7457C"/>
    <w:rsid w:val="49F17BD5"/>
    <w:rsid w:val="49F25460"/>
    <w:rsid w:val="49FB9645"/>
    <w:rsid w:val="4A026A42"/>
    <w:rsid w:val="4A144462"/>
    <w:rsid w:val="4A68B153"/>
    <w:rsid w:val="4ACCA4EF"/>
    <w:rsid w:val="4B59D5DE"/>
    <w:rsid w:val="4B5E0ACF"/>
    <w:rsid w:val="4B77F438"/>
    <w:rsid w:val="4B8495DF"/>
    <w:rsid w:val="4B875A81"/>
    <w:rsid w:val="4B898711"/>
    <w:rsid w:val="4B9C0311"/>
    <w:rsid w:val="4BA65217"/>
    <w:rsid w:val="4BAD6212"/>
    <w:rsid w:val="4BE66353"/>
    <w:rsid w:val="4BFD3C76"/>
    <w:rsid w:val="4C086A93"/>
    <w:rsid w:val="4C1AD8CA"/>
    <w:rsid w:val="4C374FF0"/>
    <w:rsid w:val="4C539AE6"/>
    <w:rsid w:val="4CBB8816"/>
    <w:rsid w:val="4CE2E483"/>
    <w:rsid w:val="4D3957B2"/>
    <w:rsid w:val="4D61A669"/>
    <w:rsid w:val="4DED8CFC"/>
    <w:rsid w:val="4DF0729B"/>
    <w:rsid w:val="4E07815A"/>
    <w:rsid w:val="4E1AAFBF"/>
    <w:rsid w:val="4E230375"/>
    <w:rsid w:val="4E3ACE0E"/>
    <w:rsid w:val="4E5B6497"/>
    <w:rsid w:val="4ECCB335"/>
    <w:rsid w:val="4ECFBB70"/>
    <w:rsid w:val="4EE4C4A5"/>
    <w:rsid w:val="4F4CFD44"/>
    <w:rsid w:val="4F8C2429"/>
    <w:rsid w:val="4F9A3CC2"/>
    <w:rsid w:val="4FA27AD8"/>
    <w:rsid w:val="4FA812E0"/>
    <w:rsid w:val="4FFDD89E"/>
    <w:rsid w:val="50041D86"/>
    <w:rsid w:val="501B0A29"/>
    <w:rsid w:val="5062710E"/>
    <w:rsid w:val="50A8A362"/>
    <w:rsid w:val="50B25CA6"/>
    <w:rsid w:val="514AC586"/>
    <w:rsid w:val="51561611"/>
    <w:rsid w:val="516A5F56"/>
    <w:rsid w:val="517AB327"/>
    <w:rsid w:val="5194AEF1"/>
    <w:rsid w:val="51A54B8C"/>
    <w:rsid w:val="51C5E989"/>
    <w:rsid w:val="5229FB6A"/>
    <w:rsid w:val="5254105D"/>
    <w:rsid w:val="52599069"/>
    <w:rsid w:val="52742801"/>
    <w:rsid w:val="52846388"/>
    <w:rsid w:val="52AA0F17"/>
    <w:rsid w:val="52C15CE4"/>
    <w:rsid w:val="52C38E7C"/>
    <w:rsid w:val="52E72A52"/>
    <w:rsid w:val="52FECBFC"/>
    <w:rsid w:val="537FBF6B"/>
    <w:rsid w:val="539C8CEF"/>
    <w:rsid w:val="53BCCEC7"/>
    <w:rsid w:val="53D98FE5"/>
    <w:rsid w:val="53E6BB48"/>
    <w:rsid w:val="53E849E2"/>
    <w:rsid w:val="5435BC66"/>
    <w:rsid w:val="545489EB"/>
    <w:rsid w:val="54733EFF"/>
    <w:rsid w:val="5477CD36"/>
    <w:rsid w:val="5495A9F1"/>
    <w:rsid w:val="54E25D60"/>
    <w:rsid w:val="54E3E72D"/>
    <w:rsid w:val="54EA37D1"/>
    <w:rsid w:val="54F545C3"/>
    <w:rsid w:val="5507EFDE"/>
    <w:rsid w:val="556376B8"/>
    <w:rsid w:val="558D7651"/>
    <w:rsid w:val="5595A408"/>
    <w:rsid w:val="55B21D1F"/>
    <w:rsid w:val="55D6027F"/>
    <w:rsid w:val="55D75B53"/>
    <w:rsid w:val="55D8A563"/>
    <w:rsid w:val="55DF0E8B"/>
    <w:rsid w:val="55FC0117"/>
    <w:rsid w:val="5604CC1A"/>
    <w:rsid w:val="56177037"/>
    <w:rsid w:val="5638FE96"/>
    <w:rsid w:val="56AFA0BA"/>
    <w:rsid w:val="56C0694A"/>
    <w:rsid w:val="56CB4BE6"/>
    <w:rsid w:val="56DBFE32"/>
    <w:rsid w:val="56DEE901"/>
    <w:rsid w:val="56E19C69"/>
    <w:rsid w:val="56EC8D2F"/>
    <w:rsid w:val="56FAC506"/>
    <w:rsid w:val="57545F19"/>
    <w:rsid w:val="576722F0"/>
    <w:rsid w:val="57AE1A14"/>
    <w:rsid w:val="57B64C68"/>
    <w:rsid w:val="57D245E7"/>
    <w:rsid w:val="58021B65"/>
    <w:rsid w:val="582DE8EB"/>
    <w:rsid w:val="583ECECF"/>
    <w:rsid w:val="5844D7A7"/>
    <w:rsid w:val="584F7DFD"/>
    <w:rsid w:val="585FDF34"/>
    <w:rsid w:val="5878DDDB"/>
    <w:rsid w:val="5879D79D"/>
    <w:rsid w:val="593D538F"/>
    <w:rsid w:val="5942B6B4"/>
    <w:rsid w:val="596C0476"/>
    <w:rsid w:val="596E9002"/>
    <w:rsid w:val="596F1EDD"/>
    <w:rsid w:val="5974963C"/>
    <w:rsid w:val="59C3B663"/>
    <w:rsid w:val="59FEF1DE"/>
    <w:rsid w:val="5A1F35A9"/>
    <w:rsid w:val="5A2E1CE3"/>
    <w:rsid w:val="5A34C4EC"/>
    <w:rsid w:val="5A8EE460"/>
    <w:rsid w:val="5A9A8F54"/>
    <w:rsid w:val="5AD71453"/>
    <w:rsid w:val="5B246C5D"/>
    <w:rsid w:val="5B2E0321"/>
    <w:rsid w:val="5B3676B7"/>
    <w:rsid w:val="5B4D43E1"/>
    <w:rsid w:val="5B99E6FA"/>
    <w:rsid w:val="5BAC6AA3"/>
    <w:rsid w:val="5BB52DE2"/>
    <w:rsid w:val="5C0F44F5"/>
    <w:rsid w:val="5C1D213D"/>
    <w:rsid w:val="5C74CAE1"/>
    <w:rsid w:val="5C7DFC88"/>
    <w:rsid w:val="5C7FC2F0"/>
    <w:rsid w:val="5CAA0F92"/>
    <w:rsid w:val="5CB3403D"/>
    <w:rsid w:val="5CB794A1"/>
    <w:rsid w:val="5CD39EA4"/>
    <w:rsid w:val="5CF5D608"/>
    <w:rsid w:val="5D0A2F0A"/>
    <w:rsid w:val="5D34D583"/>
    <w:rsid w:val="5D5130A9"/>
    <w:rsid w:val="5D87B61E"/>
    <w:rsid w:val="5DD55FFB"/>
    <w:rsid w:val="5DD93287"/>
    <w:rsid w:val="5DE29D0F"/>
    <w:rsid w:val="5E032E64"/>
    <w:rsid w:val="5E33CEB2"/>
    <w:rsid w:val="5E56C4A2"/>
    <w:rsid w:val="5E5CD984"/>
    <w:rsid w:val="5E8638D4"/>
    <w:rsid w:val="5E9072C3"/>
    <w:rsid w:val="5EC245AB"/>
    <w:rsid w:val="5ED02F59"/>
    <w:rsid w:val="5EDB443D"/>
    <w:rsid w:val="5F76A2A0"/>
    <w:rsid w:val="5F8B585B"/>
    <w:rsid w:val="5F9F25B0"/>
    <w:rsid w:val="6051CE3A"/>
    <w:rsid w:val="607646BE"/>
    <w:rsid w:val="60B55F42"/>
    <w:rsid w:val="60B694D9"/>
    <w:rsid w:val="6107E9E2"/>
    <w:rsid w:val="610B9ECA"/>
    <w:rsid w:val="6134D32A"/>
    <w:rsid w:val="614F8048"/>
    <w:rsid w:val="6172290D"/>
    <w:rsid w:val="6190CC33"/>
    <w:rsid w:val="61E9A496"/>
    <w:rsid w:val="61EC4E87"/>
    <w:rsid w:val="61FF6468"/>
    <w:rsid w:val="6218B734"/>
    <w:rsid w:val="621C61CA"/>
    <w:rsid w:val="6228C5AE"/>
    <w:rsid w:val="6259C1DE"/>
    <w:rsid w:val="62686AC0"/>
    <w:rsid w:val="62823C46"/>
    <w:rsid w:val="629C0E49"/>
    <w:rsid w:val="62CD7C2D"/>
    <w:rsid w:val="62D30AE2"/>
    <w:rsid w:val="62E46469"/>
    <w:rsid w:val="62EA677A"/>
    <w:rsid w:val="62F4A75E"/>
    <w:rsid w:val="630958CC"/>
    <w:rsid w:val="638070AC"/>
    <w:rsid w:val="6391E3ED"/>
    <w:rsid w:val="6392C672"/>
    <w:rsid w:val="63B7AEDD"/>
    <w:rsid w:val="63FCFA71"/>
    <w:rsid w:val="6409880A"/>
    <w:rsid w:val="6492ACCB"/>
    <w:rsid w:val="64BEE74B"/>
    <w:rsid w:val="64FD9D74"/>
    <w:rsid w:val="65264B44"/>
    <w:rsid w:val="65278FBB"/>
    <w:rsid w:val="6532A604"/>
    <w:rsid w:val="655A821C"/>
    <w:rsid w:val="6563D77F"/>
    <w:rsid w:val="6577969A"/>
    <w:rsid w:val="65864234"/>
    <w:rsid w:val="658E75F2"/>
    <w:rsid w:val="65A75064"/>
    <w:rsid w:val="65AE6EC7"/>
    <w:rsid w:val="65EBE641"/>
    <w:rsid w:val="663E929C"/>
    <w:rsid w:val="6683093B"/>
    <w:rsid w:val="67100F1A"/>
    <w:rsid w:val="677ECC83"/>
    <w:rsid w:val="67B5CD62"/>
    <w:rsid w:val="67B8D847"/>
    <w:rsid w:val="687A97F8"/>
    <w:rsid w:val="687E19AC"/>
    <w:rsid w:val="688CB968"/>
    <w:rsid w:val="689DFEA3"/>
    <w:rsid w:val="68C64C1F"/>
    <w:rsid w:val="68D1904B"/>
    <w:rsid w:val="68EC608F"/>
    <w:rsid w:val="68FE4E66"/>
    <w:rsid w:val="690FE552"/>
    <w:rsid w:val="691F6D50"/>
    <w:rsid w:val="6933ECDB"/>
    <w:rsid w:val="6946FDDB"/>
    <w:rsid w:val="697B111C"/>
    <w:rsid w:val="699CD014"/>
    <w:rsid w:val="69C01A4C"/>
    <w:rsid w:val="69C3CD9C"/>
    <w:rsid w:val="69CF7BFF"/>
    <w:rsid w:val="69D92A39"/>
    <w:rsid w:val="69DAD03F"/>
    <w:rsid w:val="6A247737"/>
    <w:rsid w:val="6A351C28"/>
    <w:rsid w:val="6A59ECD3"/>
    <w:rsid w:val="6A5FBE7D"/>
    <w:rsid w:val="6AE8A4A8"/>
    <w:rsid w:val="6AFE3695"/>
    <w:rsid w:val="6B01DC2F"/>
    <w:rsid w:val="6B36A809"/>
    <w:rsid w:val="6B492E60"/>
    <w:rsid w:val="6B7DA764"/>
    <w:rsid w:val="6B94A3DC"/>
    <w:rsid w:val="6BA94AFB"/>
    <w:rsid w:val="6BD6C18F"/>
    <w:rsid w:val="6BD8E256"/>
    <w:rsid w:val="6BFE4671"/>
    <w:rsid w:val="6C28DB64"/>
    <w:rsid w:val="6C2E7642"/>
    <w:rsid w:val="6C306F45"/>
    <w:rsid w:val="6C4D8BF9"/>
    <w:rsid w:val="6C66A963"/>
    <w:rsid w:val="6CBF498B"/>
    <w:rsid w:val="6CCA825C"/>
    <w:rsid w:val="6CE8F505"/>
    <w:rsid w:val="6D18D5F3"/>
    <w:rsid w:val="6D37FC3F"/>
    <w:rsid w:val="6D693B2F"/>
    <w:rsid w:val="6D6F8512"/>
    <w:rsid w:val="6D9A6E0F"/>
    <w:rsid w:val="6DEBFC5C"/>
    <w:rsid w:val="6E016DF2"/>
    <w:rsid w:val="6E176DA4"/>
    <w:rsid w:val="6E1B1A57"/>
    <w:rsid w:val="6E303EF3"/>
    <w:rsid w:val="6E3519E5"/>
    <w:rsid w:val="6E37C953"/>
    <w:rsid w:val="6E5E6A4C"/>
    <w:rsid w:val="6E73D3B8"/>
    <w:rsid w:val="6E8E3DB8"/>
    <w:rsid w:val="6EA2083D"/>
    <w:rsid w:val="6EF2A0D9"/>
    <w:rsid w:val="6F109DBC"/>
    <w:rsid w:val="6F14C158"/>
    <w:rsid w:val="6F2FDCA9"/>
    <w:rsid w:val="6F67C7BE"/>
    <w:rsid w:val="6F77C63C"/>
    <w:rsid w:val="6F78B731"/>
    <w:rsid w:val="6F7D63F5"/>
    <w:rsid w:val="6F88CE7F"/>
    <w:rsid w:val="6FCBB7E6"/>
    <w:rsid w:val="6FE03CA2"/>
    <w:rsid w:val="7010FE83"/>
    <w:rsid w:val="7012BC5D"/>
    <w:rsid w:val="704564ED"/>
    <w:rsid w:val="707358F4"/>
    <w:rsid w:val="70CC8D0B"/>
    <w:rsid w:val="70D70424"/>
    <w:rsid w:val="70DB2A4C"/>
    <w:rsid w:val="71071556"/>
    <w:rsid w:val="71114F4E"/>
    <w:rsid w:val="7156175D"/>
    <w:rsid w:val="716D8AB6"/>
    <w:rsid w:val="71E8E49B"/>
    <w:rsid w:val="7231A9C2"/>
    <w:rsid w:val="7240F8EA"/>
    <w:rsid w:val="72412679"/>
    <w:rsid w:val="724CAA0A"/>
    <w:rsid w:val="7283DE8C"/>
    <w:rsid w:val="72B967F9"/>
    <w:rsid w:val="72B9E101"/>
    <w:rsid w:val="72C13342"/>
    <w:rsid w:val="72C9CD2B"/>
    <w:rsid w:val="73162C38"/>
    <w:rsid w:val="7335FFDC"/>
    <w:rsid w:val="739059E6"/>
    <w:rsid w:val="73B29B5E"/>
    <w:rsid w:val="73BBA7D6"/>
    <w:rsid w:val="73BBDF90"/>
    <w:rsid w:val="73DD67E7"/>
    <w:rsid w:val="73E41B33"/>
    <w:rsid w:val="73EF43D9"/>
    <w:rsid w:val="74030CB6"/>
    <w:rsid w:val="741CD17B"/>
    <w:rsid w:val="749C186E"/>
    <w:rsid w:val="74FF8423"/>
    <w:rsid w:val="7502E291"/>
    <w:rsid w:val="753F0F7C"/>
    <w:rsid w:val="75698E31"/>
    <w:rsid w:val="756D9C70"/>
    <w:rsid w:val="75714571"/>
    <w:rsid w:val="759BCA6F"/>
    <w:rsid w:val="75C8B67E"/>
    <w:rsid w:val="75CB2D9C"/>
    <w:rsid w:val="75FA7267"/>
    <w:rsid w:val="760B208F"/>
    <w:rsid w:val="761DC454"/>
    <w:rsid w:val="762B4A92"/>
    <w:rsid w:val="763A25AC"/>
    <w:rsid w:val="765424A0"/>
    <w:rsid w:val="76827001"/>
    <w:rsid w:val="768AF946"/>
    <w:rsid w:val="76BD1260"/>
    <w:rsid w:val="76FA991B"/>
    <w:rsid w:val="7709F286"/>
    <w:rsid w:val="770B3DF6"/>
    <w:rsid w:val="771C37F0"/>
    <w:rsid w:val="7740C29E"/>
    <w:rsid w:val="778905A1"/>
    <w:rsid w:val="7796530E"/>
    <w:rsid w:val="77FA014F"/>
    <w:rsid w:val="78021FBA"/>
    <w:rsid w:val="78149151"/>
    <w:rsid w:val="7861D2C8"/>
    <w:rsid w:val="787FC39D"/>
    <w:rsid w:val="78B08480"/>
    <w:rsid w:val="78D20C27"/>
    <w:rsid w:val="78E99FE5"/>
    <w:rsid w:val="78F112CA"/>
    <w:rsid w:val="79068486"/>
    <w:rsid w:val="7923CCD9"/>
    <w:rsid w:val="7945F486"/>
    <w:rsid w:val="79CA7FD9"/>
    <w:rsid w:val="79DAF28B"/>
    <w:rsid w:val="7A0DBB2A"/>
    <w:rsid w:val="7A1CFE18"/>
    <w:rsid w:val="7A456B84"/>
    <w:rsid w:val="7A498E5D"/>
    <w:rsid w:val="7A4D16F5"/>
    <w:rsid w:val="7A75217B"/>
    <w:rsid w:val="7A8F4B75"/>
    <w:rsid w:val="7AAE8EFE"/>
    <w:rsid w:val="7AF80F6E"/>
    <w:rsid w:val="7AFF6F14"/>
    <w:rsid w:val="7B40C789"/>
    <w:rsid w:val="7B88D205"/>
    <w:rsid w:val="7B8BAA37"/>
    <w:rsid w:val="7BB1ED1A"/>
    <w:rsid w:val="7BD70CF7"/>
    <w:rsid w:val="7BD9EA49"/>
    <w:rsid w:val="7BDA8BED"/>
    <w:rsid w:val="7BDDF07C"/>
    <w:rsid w:val="7BF53EF9"/>
    <w:rsid w:val="7C1CE442"/>
    <w:rsid w:val="7C569648"/>
    <w:rsid w:val="7C71D8BF"/>
    <w:rsid w:val="7C942522"/>
    <w:rsid w:val="7CAD0F58"/>
    <w:rsid w:val="7CCCDDD7"/>
    <w:rsid w:val="7CF89AE6"/>
    <w:rsid w:val="7D49971A"/>
    <w:rsid w:val="7D57A13D"/>
    <w:rsid w:val="7D6A13B4"/>
    <w:rsid w:val="7D981C97"/>
    <w:rsid w:val="7DA0B4EB"/>
    <w:rsid w:val="7DA0CDF9"/>
    <w:rsid w:val="7DA3C870"/>
    <w:rsid w:val="7DB037F9"/>
    <w:rsid w:val="7DB08746"/>
    <w:rsid w:val="7DB5C103"/>
    <w:rsid w:val="7DE1125C"/>
    <w:rsid w:val="7DE1EF2D"/>
    <w:rsid w:val="7DF0B845"/>
    <w:rsid w:val="7E7C9D2E"/>
    <w:rsid w:val="7E9611B7"/>
    <w:rsid w:val="7EF1D215"/>
    <w:rsid w:val="7EFBA266"/>
    <w:rsid w:val="7F34731F"/>
    <w:rsid w:val="7F37318C"/>
    <w:rsid w:val="7F446EB3"/>
    <w:rsid w:val="7F4CC678"/>
    <w:rsid w:val="7F7F587C"/>
    <w:rsid w:val="7F8A4BA1"/>
    <w:rsid w:val="7FD00C5A"/>
    <w:rsid w:val="7FE3BC93"/>
    <w:rsid w:val="7FE69F0B"/>
    <w:rsid w:val="7FFD19B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7678407-0EB4-4F4C-9EBF-CA91FB478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5B70"/>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1558D7"/>
    <w:pPr>
      <w:numPr>
        <w:ilvl w:val="3"/>
      </w:numPr>
      <w:ind w:left="864"/>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uiPriority w:val="39"/>
    <w:rsid w:val="005831DD"/>
    <w:pPr>
      <w:spacing w:before="180"/>
      <w:ind w:left="2693" w:hanging="2693"/>
    </w:pPr>
    <w:rPr>
      <w:b/>
    </w:rPr>
  </w:style>
  <w:style w:type="paragraph" w:styleId="TOC1">
    <w:name w:val="toc 1"/>
    <w:uiPriority w:val="39"/>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5831DD"/>
    <w:pPr>
      <w:ind w:left="1701" w:hanging="1701"/>
    </w:pPr>
  </w:style>
  <w:style w:type="paragraph" w:styleId="TOC4">
    <w:name w:val="toc 4"/>
    <w:basedOn w:val="TOC3"/>
    <w:uiPriority w:val="39"/>
    <w:rsid w:val="005831DD"/>
    <w:pPr>
      <w:ind w:left="1418" w:hanging="1418"/>
    </w:pPr>
  </w:style>
  <w:style w:type="paragraph" w:styleId="TOC3">
    <w:name w:val="toc 3"/>
    <w:basedOn w:val="TOC2"/>
    <w:uiPriority w:val="39"/>
    <w:rsid w:val="005831DD"/>
    <w:pPr>
      <w:ind w:left="1134" w:hanging="1134"/>
    </w:pPr>
  </w:style>
  <w:style w:type="paragraph" w:styleId="TOC2">
    <w:name w:val="toc 2"/>
    <w:basedOn w:val="TOC1"/>
    <w:uiPriority w:val="39"/>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uiPriority w:val="39"/>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uiPriority w:val="39"/>
    <w:rsid w:val="005831DD"/>
    <w:pPr>
      <w:ind w:left="1985" w:hanging="1985"/>
    </w:pPr>
  </w:style>
  <w:style w:type="paragraph" w:styleId="TOC7">
    <w:name w:val="toc 7"/>
    <w:basedOn w:val="TOC6"/>
    <w:next w:val="Normal"/>
    <w:uiPriority w:val="39"/>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Caption Char C...,cap1,cap2,cap11,Légende-figure,Légende-figure Char,Beschrifubg,Beschriftung Char,label,cap11 Char Char Char"/>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 Char,Caption Char C... Char,cap1 Char,cap2 Char,cap11 Char,Légende-figure Char1,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E15FBA"/>
  </w:style>
  <w:style w:type="character" w:styleId="Mention">
    <w:name w:val="Mention"/>
    <w:basedOn w:val="DefaultParagraphFont"/>
    <w:uiPriority w:val="99"/>
    <w:unhideWhenUsed/>
    <w:rsid w:val="00B72721"/>
    <w:rPr>
      <w:color w:val="2B579A"/>
      <w:shd w:val="clear" w:color="auto" w:fill="E6E6E6"/>
    </w:rPr>
  </w:style>
  <w:style w:type="table" w:styleId="GridTable4">
    <w:name w:val="Grid Table 4"/>
    <w:basedOn w:val="TableNormal"/>
    <w:uiPriority w:val="49"/>
    <w:rsid w:val="00992B6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aragraph">
    <w:name w:val="paragraph"/>
    <w:basedOn w:val="Normal"/>
    <w:rsid w:val="00D560A1"/>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eop">
    <w:name w:val="eop"/>
    <w:basedOn w:val="DefaultParagraphFont"/>
    <w:rsid w:val="002224C1"/>
  </w:style>
  <w:style w:type="character" w:customStyle="1" w:styleId="spellingerror">
    <w:name w:val="spellingerror"/>
    <w:basedOn w:val="DefaultParagraphFont"/>
    <w:rsid w:val="002224C1"/>
  </w:style>
  <w:style w:type="character" w:customStyle="1" w:styleId="ui-provider">
    <w:name w:val="ui-provider"/>
    <w:basedOn w:val="DefaultParagraphFont"/>
    <w:rsid w:val="00B40CF9"/>
  </w:style>
  <w:style w:type="paragraph" w:customStyle="1" w:styleId="Proposal">
    <w:name w:val="Proposal"/>
    <w:basedOn w:val="BodyText"/>
    <w:next w:val="00BodyText"/>
    <w:link w:val="ProposalChar"/>
    <w:qFormat/>
    <w:rsid w:val="001C18DB"/>
    <w:pPr>
      <w:numPr>
        <w:numId w:val="43"/>
      </w:numPr>
      <w:spacing w:before="240"/>
      <w:jc w:val="both"/>
    </w:pPr>
    <w:rPr>
      <w:b/>
      <w:bCs/>
      <w:lang w:val="en-US"/>
    </w:rPr>
  </w:style>
  <w:style w:type="paragraph" w:customStyle="1" w:styleId="Observation">
    <w:name w:val="Observation"/>
    <w:basedOn w:val="Proposal"/>
    <w:link w:val="ObservationChar"/>
    <w:qFormat/>
    <w:rsid w:val="00A82614"/>
    <w:pPr>
      <w:numPr>
        <w:numId w:val="54"/>
      </w:numPr>
      <w:jc w:val="left"/>
    </w:pPr>
    <w:rPr>
      <w:bCs w:val="0"/>
      <w:i/>
      <w:kern w:val="24"/>
    </w:rPr>
  </w:style>
  <w:style w:type="character" w:customStyle="1" w:styleId="ProposalChar">
    <w:name w:val="Proposal Char"/>
    <w:basedOn w:val="CaptionChar1"/>
    <w:link w:val="Proposal"/>
    <w:rsid w:val="001C18DB"/>
    <w:rPr>
      <w:rFonts w:ascii="Times New Roman" w:hAnsi="Times New Roman"/>
      <w:b/>
      <w:bCs/>
    </w:rPr>
  </w:style>
  <w:style w:type="character" w:customStyle="1" w:styleId="ObservationChar">
    <w:name w:val="Observation Char"/>
    <w:basedOn w:val="ProposalChar"/>
    <w:link w:val="Observation"/>
    <w:rsid w:val="00A82614"/>
    <w:rPr>
      <w:rFonts w:ascii="Times New Roman" w:hAnsi="Times New Roman"/>
      <w:b/>
      <w:bCs w:val="0"/>
      <w:i/>
      <w:kern w:val="24"/>
    </w:rPr>
  </w:style>
  <w:style w:type="character" w:customStyle="1" w:styleId="fontstyle01">
    <w:name w:val="fontstyle01"/>
    <w:basedOn w:val="DefaultParagraphFont"/>
    <w:rsid w:val="00520DCB"/>
    <w:rPr>
      <w:rFonts w:ascii="TimesNewRomanPSMT" w:hAnsi="TimesNewRomanPSMT" w:cs="TimesNewRomanPSMT" w:hint="default"/>
      <w:b w:val="0"/>
      <w:bCs w:val="0"/>
      <w:i w:val="0"/>
      <w:iCs w:val="0"/>
      <w:color w:val="000000"/>
      <w:sz w:val="20"/>
      <w:szCs w:val="20"/>
    </w:rPr>
  </w:style>
  <w:style w:type="paragraph" w:customStyle="1" w:styleId="2">
    <w:name w:val="列出段落2"/>
    <w:basedOn w:val="Normal"/>
    <w:link w:val="a"/>
    <w:uiPriority w:val="34"/>
    <w:qFormat/>
    <w:rsid w:val="00E26BAF"/>
    <w:pPr>
      <w:suppressAutoHyphens/>
      <w:overflowPunct/>
      <w:autoSpaceDE/>
      <w:autoSpaceDN/>
      <w:adjustRightInd/>
      <w:spacing w:after="50"/>
      <w:ind w:left="840"/>
      <w:textAlignment w:val="auto"/>
    </w:pPr>
    <w:rPr>
      <w:rFonts w:ascii="Cambria" w:eastAsia="SimHei" w:hAnsi="Cambria" w:cs="SimSun"/>
      <w:lang w:val="en-US"/>
    </w:rPr>
  </w:style>
  <w:style w:type="character" w:customStyle="1" w:styleId="a">
    <w:name w:val="列出段落 字符"/>
    <w:link w:val="2"/>
    <w:uiPriority w:val="34"/>
    <w:qFormat/>
    <w:rsid w:val="00E26BAF"/>
    <w:rPr>
      <w:rFonts w:ascii="Cambria" w:eastAsia="SimHei" w:hAnsi="Cambria" w:cs="SimSun"/>
    </w:rPr>
  </w:style>
  <w:style w:type="paragraph" w:styleId="BodyTextFirstIndent">
    <w:name w:val="Body Text First Indent"/>
    <w:basedOn w:val="BodyText"/>
    <w:link w:val="BodyTextFirstIndentChar"/>
    <w:rsid w:val="00011170"/>
    <w:pPr>
      <w:spacing w:after="180"/>
      <w:ind w:firstLine="360"/>
    </w:pPr>
  </w:style>
  <w:style w:type="character" w:customStyle="1" w:styleId="BodyTextFirstIndentChar">
    <w:name w:val="Body Text First Indent Char"/>
    <w:basedOn w:val="BodyTextChar"/>
    <w:link w:val="BodyTextFirstIndent"/>
    <w:rsid w:val="00011170"/>
    <w:rPr>
      <w:rFonts w:ascii="Times New Roman" w:hAnsi="Times New Roman"/>
      <w:lang w:val="en-GB"/>
    </w:rPr>
  </w:style>
  <w:style w:type="character" w:styleId="Strong">
    <w:name w:val="Strong"/>
    <w:basedOn w:val="DefaultParagraphFont"/>
    <w:uiPriority w:val="22"/>
    <w:qFormat/>
    <w:rsid w:val="00FB6324"/>
    <w:rPr>
      <w:b/>
      <w:bCs/>
    </w:rPr>
  </w:style>
  <w:style w:type="paragraph" w:styleId="Index8">
    <w:name w:val="index 8"/>
    <w:basedOn w:val="Normal"/>
    <w:next w:val="Normal"/>
    <w:autoRedefine/>
    <w:semiHidden/>
    <w:unhideWhenUsed/>
    <w:rsid w:val="00A742E0"/>
    <w:pPr>
      <w:spacing w:after="0"/>
      <w:ind w:left="16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643215">
      <w:bodyDiv w:val="1"/>
      <w:marLeft w:val="0"/>
      <w:marRight w:val="0"/>
      <w:marTop w:val="0"/>
      <w:marBottom w:val="0"/>
      <w:divBdr>
        <w:top w:val="none" w:sz="0" w:space="0" w:color="auto"/>
        <w:left w:val="none" w:sz="0" w:space="0" w:color="auto"/>
        <w:bottom w:val="none" w:sz="0" w:space="0" w:color="auto"/>
        <w:right w:val="none" w:sz="0" w:space="0" w:color="auto"/>
      </w:divBdr>
      <w:divsChild>
        <w:div w:id="789515899">
          <w:marLeft w:val="547"/>
          <w:marRight w:val="0"/>
          <w:marTop w:val="0"/>
          <w:marBottom w:val="120"/>
          <w:divBdr>
            <w:top w:val="none" w:sz="0" w:space="0" w:color="auto"/>
            <w:left w:val="none" w:sz="0" w:space="0" w:color="auto"/>
            <w:bottom w:val="none" w:sz="0" w:space="0" w:color="auto"/>
            <w:right w:val="none" w:sz="0" w:space="0" w:color="auto"/>
          </w:divBdr>
        </w:div>
      </w:divsChild>
    </w:div>
    <w:div w:id="2198036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9471608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423771">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33260116">
      <w:bodyDiv w:val="1"/>
      <w:marLeft w:val="0"/>
      <w:marRight w:val="0"/>
      <w:marTop w:val="0"/>
      <w:marBottom w:val="0"/>
      <w:divBdr>
        <w:top w:val="none" w:sz="0" w:space="0" w:color="auto"/>
        <w:left w:val="none" w:sz="0" w:space="0" w:color="auto"/>
        <w:bottom w:val="none" w:sz="0" w:space="0" w:color="auto"/>
        <w:right w:val="none" w:sz="0" w:space="0" w:color="auto"/>
      </w:divBdr>
    </w:div>
    <w:div w:id="135879593">
      <w:bodyDiv w:val="1"/>
      <w:marLeft w:val="0"/>
      <w:marRight w:val="0"/>
      <w:marTop w:val="0"/>
      <w:marBottom w:val="0"/>
      <w:divBdr>
        <w:top w:val="none" w:sz="0" w:space="0" w:color="auto"/>
        <w:left w:val="none" w:sz="0" w:space="0" w:color="auto"/>
        <w:bottom w:val="none" w:sz="0" w:space="0" w:color="auto"/>
        <w:right w:val="none" w:sz="0" w:space="0" w:color="auto"/>
      </w:divBdr>
    </w:div>
    <w:div w:id="136191251">
      <w:bodyDiv w:val="1"/>
      <w:marLeft w:val="0"/>
      <w:marRight w:val="0"/>
      <w:marTop w:val="0"/>
      <w:marBottom w:val="0"/>
      <w:divBdr>
        <w:top w:val="none" w:sz="0" w:space="0" w:color="auto"/>
        <w:left w:val="none" w:sz="0" w:space="0" w:color="auto"/>
        <w:bottom w:val="none" w:sz="0" w:space="0" w:color="auto"/>
        <w:right w:val="none" w:sz="0" w:space="0" w:color="auto"/>
      </w:divBdr>
      <w:divsChild>
        <w:div w:id="1117482409">
          <w:marLeft w:val="0"/>
          <w:marRight w:val="0"/>
          <w:marTop w:val="0"/>
          <w:marBottom w:val="0"/>
          <w:divBdr>
            <w:top w:val="none" w:sz="0" w:space="0" w:color="auto"/>
            <w:left w:val="none" w:sz="0" w:space="0" w:color="auto"/>
            <w:bottom w:val="none" w:sz="0" w:space="0" w:color="auto"/>
            <w:right w:val="none" w:sz="0" w:space="0" w:color="auto"/>
          </w:divBdr>
        </w:div>
        <w:div w:id="1193304690">
          <w:marLeft w:val="0"/>
          <w:marRight w:val="0"/>
          <w:marTop w:val="0"/>
          <w:marBottom w:val="0"/>
          <w:divBdr>
            <w:top w:val="none" w:sz="0" w:space="0" w:color="auto"/>
            <w:left w:val="none" w:sz="0" w:space="0" w:color="auto"/>
            <w:bottom w:val="none" w:sz="0" w:space="0" w:color="auto"/>
            <w:right w:val="none" w:sz="0" w:space="0" w:color="auto"/>
          </w:divBdr>
        </w:div>
        <w:div w:id="1259408730">
          <w:marLeft w:val="0"/>
          <w:marRight w:val="0"/>
          <w:marTop w:val="0"/>
          <w:marBottom w:val="0"/>
          <w:divBdr>
            <w:top w:val="none" w:sz="0" w:space="0" w:color="auto"/>
            <w:left w:val="none" w:sz="0" w:space="0" w:color="auto"/>
            <w:bottom w:val="none" w:sz="0" w:space="0" w:color="auto"/>
            <w:right w:val="none" w:sz="0" w:space="0" w:color="auto"/>
          </w:divBdr>
        </w:div>
      </w:divsChild>
    </w:div>
    <w:div w:id="14235984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6310897">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2596455">
      <w:bodyDiv w:val="1"/>
      <w:marLeft w:val="0"/>
      <w:marRight w:val="0"/>
      <w:marTop w:val="0"/>
      <w:marBottom w:val="0"/>
      <w:divBdr>
        <w:top w:val="none" w:sz="0" w:space="0" w:color="auto"/>
        <w:left w:val="none" w:sz="0" w:space="0" w:color="auto"/>
        <w:bottom w:val="none" w:sz="0" w:space="0" w:color="auto"/>
        <w:right w:val="none" w:sz="0" w:space="0" w:color="auto"/>
      </w:divBdr>
      <w:divsChild>
        <w:div w:id="121461273">
          <w:marLeft w:val="0"/>
          <w:marRight w:val="0"/>
          <w:marTop w:val="0"/>
          <w:marBottom w:val="0"/>
          <w:divBdr>
            <w:top w:val="none" w:sz="0" w:space="0" w:color="auto"/>
            <w:left w:val="none" w:sz="0" w:space="0" w:color="auto"/>
            <w:bottom w:val="none" w:sz="0" w:space="0" w:color="auto"/>
            <w:right w:val="none" w:sz="0" w:space="0" w:color="auto"/>
          </w:divBdr>
        </w:div>
        <w:div w:id="141773208">
          <w:marLeft w:val="0"/>
          <w:marRight w:val="0"/>
          <w:marTop w:val="0"/>
          <w:marBottom w:val="0"/>
          <w:divBdr>
            <w:top w:val="none" w:sz="0" w:space="0" w:color="auto"/>
            <w:left w:val="none" w:sz="0" w:space="0" w:color="auto"/>
            <w:bottom w:val="none" w:sz="0" w:space="0" w:color="auto"/>
            <w:right w:val="none" w:sz="0" w:space="0" w:color="auto"/>
          </w:divBdr>
        </w:div>
        <w:div w:id="1234464986">
          <w:marLeft w:val="0"/>
          <w:marRight w:val="0"/>
          <w:marTop w:val="0"/>
          <w:marBottom w:val="0"/>
          <w:divBdr>
            <w:top w:val="none" w:sz="0" w:space="0" w:color="auto"/>
            <w:left w:val="none" w:sz="0" w:space="0" w:color="auto"/>
            <w:bottom w:val="none" w:sz="0" w:space="0" w:color="auto"/>
            <w:right w:val="none" w:sz="0" w:space="0" w:color="auto"/>
          </w:divBdr>
        </w:div>
        <w:div w:id="1727415818">
          <w:marLeft w:val="0"/>
          <w:marRight w:val="0"/>
          <w:marTop w:val="0"/>
          <w:marBottom w:val="0"/>
          <w:divBdr>
            <w:top w:val="none" w:sz="0" w:space="0" w:color="auto"/>
            <w:left w:val="none" w:sz="0" w:space="0" w:color="auto"/>
            <w:bottom w:val="none" w:sz="0" w:space="0" w:color="auto"/>
            <w:right w:val="none" w:sz="0" w:space="0" w:color="auto"/>
          </w:divBdr>
        </w:div>
      </w:divsChild>
    </w:div>
    <w:div w:id="215243838">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219788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1105918">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73076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090483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2651700">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1744522">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928477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6783780">
      <w:bodyDiv w:val="1"/>
      <w:marLeft w:val="0"/>
      <w:marRight w:val="0"/>
      <w:marTop w:val="0"/>
      <w:marBottom w:val="0"/>
      <w:divBdr>
        <w:top w:val="none" w:sz="0" w:space="0" w:color="auto"/>
        <w:left w:val="none" w:sz="0" w:space="0" w:color="auto"/>
        <w:bottom w:val="none" w:sz="0" w:space="0" w:color="auto"/>
        <w:right w:val="none" w:sz="0" w:space="0" w:color="auto"/>
      </w:divBdr>
    </w:div>
    <w:div w:id="752093110">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78795622">
      <w:bodyDiv w:val="1"/>
      <w:marLeft w:val="0"/>
      <w:marRight w:val="0"/>
      <w:marTop w:val="0"/>
      <w:marBottom w:val="0"/>
      <w:divBdr>
        <w:top w:val="none" w:sz="0" w:space="0" w:color="auto"/>
        <w:left w:val="none" w:sz="0" w:space="0" w:color="auto"/>
        <w:bottom w:val="none" w:sz="0" w:space="0" w:color="auto"/>
        <w:right w:val="none" w:sz="0" w:space="0" w:color="auto"/>
      </w:divBdr>
      <w:divsChild>
        <w:div w:id="26031389">
          <w:marLeft w:val="547"/>
          <w:marRight w:val="0"/>
          <w:marTop w:val="0"/>
          <w:marBottom w:val="120"/>
          <w:divBdr>
            <w:top w:val="none" w:sz="0" w:space="0" w:color="auto"/>
            <w:left w:val="none" w:sz="0" w:space="0" w:color="auto"/>
            <w:bottom w:val="none" w:sz="0" w:space="0" w:color="auto"/>
            <w:right w:val="none" w:sz="0" w:space="0" w:color="auto"/>
          </w:divBdr>
        </w:div>
      </w:divsChild>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7574804">
      <w:bodyDiv w:val="1"/>
      <w:marLeft w:val="0"/>
      <w:marRight w:val="0"/>
      <w:marTop w:val="0"/>
      <w:marBottom w:val="0"/>
      <w:divBdr>
        <w:top w:val="none" w:sz="0" w:space="0" w:color="auto"/>
        <w:left w:val="none" w:sz="0" w:space="0" w:color="auto"/>
        <w:bottom w:val="none" w:sz="0" w:space="0" w:color="auto"/>
        <w:right w:val="none" w:sz="0" w:space="0" w:color="auto"/>
      </w:divBdr>
      <w:divsChild>
        <w:div w:id="142741406">
          <w:marLeft w:val="547"/>
          <w:marRight w:val="0"/>
          <w:marTop w:val="0"/>
          <w:marBottom w:val="120"/>
          <w:divBdr>
            <w:top w:val="none" w:sz="0" w:space="0" w:color="auto"/>
            <w:left w:val="none" w:sz="0" w:space="0" w:color="auto"/>
            <w:bottom w:val="none" w:sz="0" w:space="0" w:color="auto"/>
            <w:right w:val="none" w:sz="0" w:space="0" w:color="auto"/>
          </w:divBdr>
        </w:div>
      </w:divsChild>
    </w:div>
    <w:div w:id="81895661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11101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4560046">
      <w:bodyDiv w:val="1"/>
      <w:marLeft w:val="0"/>
      <w:marRight w:val="0"/>
      <w:marTop w:val="0"/>
      <w:marBottom w:val="0"/>
      <w:divBdr>
        <w:top w:val="none" w:sz="0" w:space="0" w:color="auto"/>
        <w:left w:val="none" w:sz="0" w:space="0" w:color="auto"/>
        <w:bottom w:val="none" w:sz="0" w:space="0" w:color="auto"/>
        <w:right w:val="none" w:sz="0" w:space="0" w:color="auto"/>
      </w:divBdr>
      <w:divsChild>
        <w:div w:id="1270968402">
          <w:marLeft w:val="547"/>
          <w:marRight w:val="0"/>
          <w:marTop w:val="0"/>
          <w:marBottom w:val="50"/>
          <w:divBdr>
            <w:top w:val="none" w:sz="0" w:space="0" w:color="auto"/>
            <w:left w:val="none" w:sz="0" w:space="0" w:color="auto"/>
            <w:bottom w:val="none" w:sz="0" w:space="0" w:color="auto"/>
            <w:right w:val="none" w:sz="0" w:space="0" w:color="auto"/>
          </w:divBdr>
        </w:div>
        <w:div w:id="1378890723">
          <w:marLeft w:val="547"/>
          <w:marRight w:val="0"/>
          <w:marTop w:val="0"/>
          <w:marBottom w:val="50"/>
          <w:divBdr>
            <w:top w:val="none" w:sz="0" w:space="0" w:color="auto"/>
            <w:left w:val="none" w:sz="0" w:space="0" w:color="auto"/>
            <w:bottom w:val="none" w:sz="0" w:space="0" w:color="auto"/>
            <w:right w:val="none" w:sz="0" w:space="0" w:color="auto"/>
          </w:divBdr>
        </w:div>
        <w:div w:id="1817454640">
          <w:marLeft w:val="547"/>
          <w:marRight w:val="0"/>
          <w:marTop w:val="0"/>
          <w:marBottom w:val="50"/>
          <w:divBdr>
            <w:top w:val="none" w:sz="0" w:space="0" w:color="auto"/>
            <w:left w:val="none" w:sz="0" w:space="0" w:color="auto"/>
            <w:bottom w:val="none" w:sz="0" w:space="0" w:color="auto"/>
            <w:right w:val="none" w:sz="0" w:space="0" w:color="auto"/>
          </w:divBdr>
        </w:div>
        <w:div w:id="2101488821">
          <w:marLeft w:val="547"/>
          <w:marRight w:val="0"/>
          <w:marTop w:val="0"/>
          <w:marBottom w:val="50"/>
          <w:divBdr>
            <w:top w:val="none" w:sz="0" w:space="0" w:color="auto"/>
            <w:left w:val="none" w:sz="0" w:space="0" w:color="auto"/>
            <w:bottom w:val="none" w:sz="0" w:space="0" w:color="auto"/>
            <w:right w:val="none" w:sz="0" w:space="0" w:color="auto"/>
          </w:divBdr>
        </w:div>
      </w:divsChild>
    </w:div>
    <w:div w:id="920216330">
      <w:bodyDiv w:val="1"/>
      <w:marLeft w:val="0"/>
      <w:marRight w:val="0"/>
      <w:marTop w:val="0"/>
      <w:marBottom w:val="0"/>
      <w:divBdr>
        <w:top w:val="none" w:sz="0" w:space="0" w:color="auto"/>
        <w:left w:val="none" w:sz="0" w:space="0" w:color="auto"/>
        <w:bottom w:val="none" w:sz="0" w:space="0" w:color="auto"/>
        <w:right w:val="none" w:sz="0" w:space="0" w:color="auto"/>
      </w:divBdr>
    </w:div>
    <w:div w:id="93251557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69615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598879">
      <w:bodyDiv w:val="1"/>
      <w:marLeft w:val="0"/>
      <w:marRight w:val="0"/>
      <w:marTop w:val="0"/>
      <w:marBottom w:val="0"/>
      <w:divBdr>
        <w:top w:val="none" w:sz="0" w:space="0" w:color="auto"/>
        <w:left w:val="none" w:sz="0" w:space="0" w:color="auto"/>
        <w:bottom w:val="none" w:sz="0" w:space="0" w:color="auto"/>
        <w:right w:val="none" w:sz="0" w:space="0" w:color="auto"/>
      </w:divBdr>
    </w:div>
    <w:div w:id="96241732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2199314">
      <w:bodyDiv w:val="1"/>
      <w:marLeft w:val="0"/>
      <w:marRight w:val="0"/>
      <w:marTop w:val="0"/>
      <w:marBottom w:val="0"/>
      <w:divBdr>
        <w:top w:val="none" w:sz="0" w:space="0" w:color="auto"/>
        <w:left w:val="none" w:sz="0" w:space="0" w:color="auto"/>
        <w:bottom w:val="none" w:sz="0" w:space="0" w:color="auto"/>
        <w:right w:val="none" w:sz="0" w:space="0" w:color="auto"/>
      </w:divBdr>
      <w:divsChild>
        <w:div w:id="90980521">
          <w:marLeft w:val="0"/>
          <w:marRight w:val="0"/>
          <w:marTop w:val="0"/>
          <w:marBottom w:val="0"/>
          <w:divBdr>
            <w:top w:val="none" w:sz="0" w:space="0" w:color="auto"/>
            <w:left w:val="none" w:sz="0" w:space="0" w:color="auto"/>
            <w:bottom w:val="none" w:sz="0" w:space="0" w:color="auto"/>
            <w:right w:val="none" w:sz="0" w:space="0" w:color="auto"/>
          </w:divBdr>
        </w:div>
        <w:div w:id="129516463">
          <w:marLeft w:val="0"/>
          <w:marRight w:val="0"/>
          <w:marTop w:val="0"/>
          <w:marBottom w:val="0"/>
          <w:divBdr>
            <w:top w:val="none" w:sz="0" w:space="0" w:color="auto"/>
            <w:left w:val="none" w:sz="0" w:space="0" w:color="auto"/>
            <w:bottom w:val="none" w:sz="0" w:space="0" w:color="auto"/>
            <w:right w:val="none" w:sz="0" w:space="0" w:color="auto"/>
          </w:divBdr>
        </w:div>
        <w:div w:id="186717655">
          <w:marLeft w:val="0"/>
          <w:marRight w:val="0"/>
          <w:marTop w:val="0"/>
          <w:marBottom w:val="0"/>
          <w:divBdr>
            <w:top w:val="none" w:sz="0" w:space="0" w:color="auto"/>
            <w:left w:val="none" w:sz="0" w:space="0" w:color="auto"/>
            <w:bottom w:val="none" w:sz="0" w:space="0" w:color="auto"/>
            <w:right w:val="none" w:sz="0" w:space="0" w:color="auto"/>
          </w:divBdr>
          <w:divsChild>
            <w:div w:id="59596923">
              <w:marLeft w:val="0"/>
              <w:marRight w:val="0"/>
              <w:marTop w:val="0"/>
              <w:marBottom w:val="0"/>
              <w:divBdr>
                <w:top w:val="none" w:sz="0" w:space="0" w:color="auto"/>
                <w:left w:val="none" w:sz="0" w:space="0" w:color="auto"/>
                <w:bottom w:val="none" w:sz="0" w:space="0" w:color="auto"/>
                <w:right w:val="none" w:sz="0" w:space="0" w:color="auto"/>
              </w:divBdr>
            </w:div>
            <w:div w:id="179391495">
              <w:marLeft w:val="0"/>
              <w:marRight w:val="0"/>
              <w:marTop w:val="0"/>
              <w:marBottom w:val="0"/>
              <w:divBdr>
                <w:top w:val="none" w:sz="0" w:space="0" w:color="auto"/>
                <w:left w:val="none" w:sz="0" w:space="0" w:color="auto"/>
                <w:bottom w:val="none" w:sz="0" w:space="0" w:color="auto"/>
                <w:right w:val="none" w:sz="0" w:space="0" w:color="auto"/>
              </w:divBdr>
            </w:div>
            <w:div w:id="343168316">
              <w:marLeft w:val="0"/>
              <w:marRight w:val="0"/>
              <w:marTop w:val="0"/>
              <w:marBottom w:val="0"/>
              <w:divBdr>
                <w:top w:val="none" w:sz="0" w:space="0" w:color="auto"/>
                <w:left w:val="none" w:sz="0" w:space="0" w:color="auto"/>
                <w:bottom w:val="none" w:sz="0" w:space="0" w:color="auto"/>
                <w:right w:val="none" w:sz="0" w:space="0" w:color="auto"/>
              </w:divBdr>
            </w:div>
            <w:div w:id="546529298">
              <w:marLeft w:val="0"/>
              <w:marRight w:val="0"/>
              <w:marTop w:val="0"/>
              <w:marBottom w:val="0"/>
              <w:divBdr>
                <w:top w:val="none" w:sz="0" w:space="0" w:color="auto"/>
                <w:left w:val="none" w:sz="0" w:space="0" w:color="auto"/>
                <w:bottom w:val="none" w:sz="0" w:space="0" w:color="auto"/>
                <w:right w:val="none" w:sz="0" w:space="0" w:color="auto"/>
              </w:divBdr>
            </w:div>
            <w:div w:id="774522001">
              <w:marLeft w:val="0"/>
              <w:marRight w:val="0"/>
              <w:marTop w:val="0"/>
              <w:marBottom w:val="0"/>
              <w:divBdr>
                <w:top w:val="none" w:sz="0" w:space="0" w:color="auto"/>
                <w:left w:val="none" w:sz="0" w:space="0" w:color="auto"/>
                <w:bottom w:val="none" w:sz="0" w:space="0" w:color="auto"/>
                <w:right w:val="none" w:sz="0" w:space="0" w:color="auto"/>
              </w:divBdr>
            </w:div>
            <w:div w:id="827134350">
              <w:marLeft w:val="0"/>
              <w:marRight w:val="0"/>
              <w:marTop w:val="0"/>
              <w:marBottom w:val="0"/>
              <w:divBdr>
                <w:top w:val="none" w:sz="0" w:space="0" w:color="auto"/>
                <w:left w:val="none" w:sz="0" w:space="0" w:color="auto"/>
                <w:bottom w:val="none" w:sz="0" w:space="0" w:color="auto"/>
                <w:right w:val="none" w:sz="0" w:space="0" w:color="auto"/>
              </w:divBdr>
            </w:div>
            <w:div w:id="944534476">
              <w:marLeft w:val="0"/>
              <w:marRight w:val="0"/>
              <w:marTop w:val="0"/>
              <w:marBottom w:val="0"/>
              <w:divBdr>
                <w:top w:val="none" w:sz="0" w:space="0" w:color="auto"/>
                <w:left w:val="none" w:sz="0" w:space="0" w:color="auto"/>
                <w:bottom w:val="none" w:sz="0" w:space="0" w:color="auto"/>
                <w:right w:val="none" w:sz="0" w:space="0" w:color="auto"/>
              </w:divBdr>
            </w:div>
            <w:div w:id="1678532469">
              <w:marLeft w:val="0"/>
              <w:marRight w:val="0"/>
              <w:marTop w:val="0"/>
              <w:marBottom w:val="0"/>
              <w:divBdr>
                <w:top w:val="none" w:sz="0" w:space="0" w:color="auto"/>
                <w:left w:val="none" w:sz="0" w:space="0" w:color="auto"/>
                <w:bottom w:val="none" w:sz="0" w:space="0" w:color="auto"/>
                <w:right w:val="none" w:sz="0" w:space="0" w:color="auto"/>
              </w:divBdr>
            </w:div>
          </w:divsChild>
        </w:div>
        <w:div w:id="459348202">
          <w:marLeft w:val="0"/>
          <w:marRight w:val="0"/>
          <w:marTop w:val="0"/>
          <w:marBottom w:val="0"/>
          <w:divBdr>
            <w:top w:val="none" w:sz="0" w:space="0" w:color="auto"/>
            <w:left w:val="none" w:sz="0" w:space="0" w:color="auto"/>
            <w:bottom w:val="none" w:sz="0" w:space="0" w:color="auto"/>
            <w:right w:val="none" w:sz="0" w:space="0" w:color="auto"/>
          </w:divBdr>
        </w:div>
        <w:div w:id="844442801">
          <w:marLeft w:val="0"/>
          <w:marRight w:val="0"/>
          <w:marTop w:val="0"/>
          <w:marBottom w:val="0"/>
          <w:divBdr>
            <w:top w:val="none" w:sz="0" w:space="0" w:color="auto"/>
            <w:left w:val="none" w:sz="0" w:space="0" w:color="auto"/>
            <w:bottom w:val="none" w:sz="0" w:space="0" w:color="auto"/>
            <w:right w:val="none" w:sz="0" w:space="0" w:color="auto"/>
          </w:divBdr>
        </w:div>
        <w:div w:id="1511018545">
          <w:marLeft w:val="0"/>
          <w:marRight w:val="0"/>
          <w:marTop w:val="0"/>
          <w:marBottom w:val="0"/>
          <w:divBdr>
            <w:top w:val="none" w:sz="0" w:space="0" w:color="auto"/>
            <w:left w:val="none" w:sz="0" w:space="0" w:color="auto"/>
            <w:bottom w:val="none" w:sz="0" w:space="0" w:color="auto"/>
            <w:right w:val="none" w:sz="0" w:space="0" w:color="auto"/>
          </w:divBdr>
        </w:div>
        <w:div w:id="1628897892">
          <w:marLeft w:val="0"/>
          <w:marRight w:val="0"/>
          <w:marTop w:val="0"/>
          <w:marBottom w:val="0"/>
          <w:divBdr>
            <w:top w:val="none" w:sz="0" w:space="0" w:color="auto"/>
            <w:left w:val="none" w:sz="0" w:space="0" w:color="auto"/>
            <w:bottom w:val="none" w:sz="0" w:space="0" w:color="auto"/>
            <w:right w:val="none" w:sz="0" w:space="0" w:color="auto"/>
          </w:divBdr>
        </w:div>
        <w:div w:id="1679194068">
          <w:marLeft w:val="0"/>
          <w:marRight w:val="0"/>
          <w:marTop w:val="0"/>
          <w:marBottom w:val="0"/>
          <w:divBdr>
            <w:top w:val="none" w:sz="0" w:space="0" w:color="auto"/>
            <w:left w:val="none" w:sz="0" w:space="0" w:color="auto"/>
            <w:bottom w:val="none" w:sz="0" w:space="0" w:color="auto"/>
            <w:right w:val="none" w:sz="0" w:space="0" w:color="auto"/>
          </w:divBdr>
          <w:divsChild>
            <w:div w:id="354038623">
              <w:marLeft w:val="0"/>
              <w:marRight w:val="0"/>
              <w:marTop w:val="0"/>
              <w:marBottom w:val="0"/>
              <w:divBdr>
                <w:top w:val="none" w:sz="0" w:space="0" w:color="auto"/>
                <w:left w:val="none" w:sz="0" w:space="0" w:color="auto"/>
                <w:bottom w:val="none" w:sz="0" w:space="0" w:color="auto"/>
                <w:right w:val="none" w:sz="0" w:space="0" w:color="auto"/>
              </w:divBdr>
            </w:div>
          </w:divsChild>
        </w:div>
        <w:div w:id="1765298982">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5563646">
      <w:bodyDiv w:val="1"/>
      <w:marLeft w:val="0"/>
      <w:marRight w:val="0"/>
      <w:marTop w:val="0"/>
      <w:marBottom w:val="0"/>
      <w:divBdr>
        <w:top w:val="none" w:sz="0" w:space="0" w:color="auto"/>
        <w:left w:val="none" w:sz="0" w:space="0" w:color="auto"/>
        <w:bottom w:val="none" w:sz="0" w:space="0" w:color="auto"/>
        <w:right w:val="none" w:sz="0" w:space="0" w:color="auto"/>
      </w:divBdr>
    </w:div>
    <w:div w:id="1079445407">
      <w:bodyDiv w:val="1"/>
      <w:marLeft w:val="0"/>
      <w:marRight w:val="0"/>
      <w:marTop w:val="0"/>
      <w:marBottom w:val="0"/>
      <w:divBdr>
        <w:top w:val="none" w:sz="0" w:space="0" w:color="auto"/>
        <w:left w:val="none" w:sz="0" w:space="0" w:color="auto"/>
        <w:bottom w:val="none" w:sz="0" w:space="0" w:color="auto"/>
        <w:right w:val="none" w:sz="0" w:space="0" w:color="auto"/>
      </w:divBdr>
    </w:div>
    <w:div w:id="1082725810">
      <w:bodyDiv w:val="1"/>
      <w:marLeft w:val="0"/>
      <w:marRight w:val="0"/>
      <w:marTop w:val="0"/>
      <w:marBottom w:val="0"/>
      <w:divBdr>
        <w:top w:val="none" w:sz="0" w:space="0" w:color="auto"/>
        <w:left w:val="none" w:sz="0" w:space="0" w:color="auto"/>
        <w:bottom w:val="none" w:sz="0" w:space="0" w:color="auto"/>
        <w:right w:val="none" w:sz="0" w:space="0" w:color="auto"/>
      </w:divBdr>
    </w:div>
    <w:div w:id="1119186705">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9132660">
      <w:bodyDiv w:val="1"/>
      <w:marLeft w:val="0"/>
      <w:marRight w:val="0"/>
      <w:marTop w:val="0"/>
      <w:marBottom w:val="0"/>
      <w:divBdr>
        <w:top w:val="none" w:sz="0" w:space="0" w:color="auto"/>
        <w:left w:val="none" w:sz="0" w:space="0" w:color="auto"/>
        <w:bottom w:val="none" w:sz="0" w:space="0" w:color="auto"/>
        <w:right w:val="none" w:sz="0" w:space="0" w:color="auto"/>
      </w:divBdr>
    </w:div>
    <w:div w:id="1143348217">
      <w:bodyDiv w:val="1"/>
      <w:marLeft w:val="0"/>
      <w:marRight w:val="0"/>
      <w:marTop w:val="0"/>
      <w:marBottom w:val="0"/>
      <w:divBdr>
        <w:top w:val="none" w:sz="0" w:space="0" w:color="auto"/>
        <w:left w:val="none" w:sz="0" w:space="0" w:color="auto"/>
        <w:bottom w:val="none" w:sz="0" w:space="0" w:color="auto"/>
        <w:right w:val="none" w:sz="0" w:space="0" w:color="auto"/>
      </w:divBdr>
      <w:divsChild>
        <w:div w:id="1159927219">
          <w:marLeft w:val="547"/>
          <w:marRight w:val="0"/>
          <w:marTop w:val="0"/>
          <w:marBottom w:val="120"/>
          <w:divBdr>
            <w:top w:val="none" w:sz="0" w:space="0" w:color="auto"/>
            <w:left w:val="none" w:sz="0" w:space="0" w:color="auto"/>
            <w:bottom w:val="none" w:sz="0" w:space="0" w:color="auto"/>
            <w:right w:val="none" w:sz="0" w:space="0" w:color="auto"/>
          </w:divBdr>
        </w:div>
        <w:div w:id="1941057918">
          <w:marLeft w:val="547"/>
          <w:marRight w:val="0"/>
          <w:marTop w:val="0"/>
          <w:marBottom w:val="12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9177417">
      <w:bodyDiv w:val="1"/>
      <w:marLeft w:val="0"/>
      <w:marRight w:val="0"/>
      <w:marTop w:val="0"/>
      <w:marBottom w:val="0"/>
      <w:divBdr>
        <w:top w:val="none" w:sz="0" w:space="0" w:color="auto"/>
        <w:left w:val="none" w:sz="0" w:space="0" w:color="auto"/>
        <w:bottom w:val="none" w:sz="0" w:space="0" w:color="auto"/>
        <w:right w:val="none" w:sz="0" w:space="0" w:color="auto"/>
      </w:divBdr>
    </w:div>
    <w:div w:id="1190949987">
      <w:bodyDiv w:val="1"/>
      <w:marLeft w:val="0"/>
      <w:marRight w:val="0"/>
      <w:marTop w:val="0"/>
      <w:marBottom w:val="0"/>
      <w:divBdr>
        <w:top w:val="none" w:sz="0" w:space="0" w:color="auto"/>
        <w:left w:val="none" w:sz="0" w:space="0" w:color="auto"/>
        <w:bottom w:val="none" w:sz="0" w:space="0" w:color="auto"/>
        <w:right w:val="none" w:sz="0" w:space="0" w:color="auto"/>
      </w:divBdr>
    </w:div>
    <w:div w:id="1205144094">
      <w:bodyDiv w:val="1"/>
      <w:marLeft w:val="0"/>
      <w:marRight w:val="0"/>
      <w:marTop w:val="0"/>
      <w:marBottom w:val="0"/>
      <w:divBdr>
        <w:top w:val="none" w:sz="0" w:space="0" w:color="auto"/>
        <w:left w:val="none" w:sz="0" w:space="0" w:color="auto"/>
        <w:bottom w:val="none" w:sz="0" w:space="0" w:color="auto"/>
        <w:right w:val="none" w:sz="0" w:space="0" w:color="auto"/>
      </w:divBdr>
    </w:div>
    <w:div w:id="122050952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96839004">
      <w:bodyDiv w:val="1"/>
      <w:marLeft w:val="0"/>
      <w:marRight w:val="0"/>
      <w:marTop w:val="0"/>
      <w:marBottom w:val="0"/>
      <w:divBdr>
        <w:top w:val="none" w:sz="0" w:space="0" w:color="auto"/>
        <w:left w:val="none" w:sz="0" w:space="0" w:color="auto"/>
        <w:bottom w:val="none" w:sz="0" w:space="0" w:color="auto"/>
        <w:right w:val="none" w:sz="0" w:space="0" w:color="auto"/>
      </w:divBdr>
    </w:div>
    <w:div w:id="1300108354">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32172489">
      <w:bodyDiv w:val="1"/>
      <w:marLeft w:val="0"/>
      <w:marRight w:val="0"/>
      <w:marTop w:val="0"/>
      <w:marBottom w:val="0"/>
      <w:divBdr>
        <w:top w:val="none" w:sz="0" w:space="0" w:color="auto"/>
        <w:left w:val="none" w:sz="0" w:space="0" w:color="auto"/>
        <w:bottom w:val="none" w:sz="0" w:space="0" w:color="auto"/>
        <w:right w:val="none" w:sz="0" w:space="0" w:color="auto"/>
      </w:divBdr>
    </w:div>
    <w:div w:id="1367171796">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5689089">
      <w:bodyDiv w:val="1"/>
      <w:marLeft w:val="0"/>
      <w:marRight w:val="0"/>
      <w:marTop w:val="0"/>
      <w:marBottom w:val="0"/>
      <w:divBdr>
        <w:top w:val="none" w:sz="0" w:space="0" w:color="auto"/>
        <w:left w:val="none" w:sz="0" w:space="0" w:color="auto"/>
        <w:bottom w:val="none" w:sz="0" w:space="0" w:color="auto"/>
        <w:right w:val="none" w:sz="0" w:space="0" w:color="auto"/>
      </w:divBdr>
      <w:divsChild>
        <w:div w:id="566914891">
          <w:marLeft w:val="547"/>
          <w:marRight w:val="0"/>
          <w:marTop w:val="0"/>
          <w:marBottom w:val="50"/>
          <w:divBdr>
            <w:top w:val="none" w:sz="0" w:space="0" w:color="auto"/>
            <w:left w:val="none" w:sz="0" w:space="0" w:color="auto"/>
            <w:bottom w:val="none" w:sz="0" w:space="0" w:color="auto"/>
            <w:right w:val="none" w:sz="0" w:space="0" w:color="auto"/>
          </w:divBdr>
        </w:div>
        <w:div w:id="626160867">
          <w:marLeft w:val="547"/>
          <w:marRight w:val="0"/>
          <w:marTop w:val="0"/>
          <w:marBottom w:val="50"/>
          <w:divBdr>
            <w:top w:val="none" w:sz="0" w:space="0" w:color="auto"/>
            <w:left w:val="none" w:sz="0" w:space="0" w:color="auto"/>
            <w:bottom w:val="none" w:sz="0" w:space="0" w:color="auto"/>
            <w:right w:val="none" w:sz="0" w:space="0" w:color="auto"/>
          </w:divBdr>
        </w:div>
        <w:div w:id="1070272226">
          <w:marLeft w:val="547"/>
          <w:marRight w:val="0"/>
          <w:marTop w:val="0"/>
          <w:marBottom w:val="50"/>
          <w:divBdr>
            <w:top w:val="none" w:sz="0" w:space="0" w:color="auto"/>
            <w:left w:val="none" w:sz="0" w:space="0" w:color="auto"/>
            <w:bottom w:val="none" w:sz="0" w:space="0" w:color="auto"/>
            <w:right w:val="none" w:sz="0" w:space="0" w:color="auto"/>
          </w:divBdr>
        </w:div>
        <w:div w:id="1112555845">
          <w:marLeft w:val="547"/>
          <w:marRight w:val="0"/>
          <w:marTop w:val="0"/>
          <w:marBottom w:val="50"/>
          <w:divBdr>
            <w:top w:val="none" w:sz="0" w:space="0" w:color="auto"/>
            <w:left w:val="none" w:sz="0" w:space="0" w:color="auto"/>
            <w:bottom w:val="none" w:sz="0" w:space="0" w:color="auto"/>
            <w:right w:val="none" w:sz="0" w:space="0" w:color="auto"/>
          </w:divBdr>
        </w:div>
        <w:div w:id="1221284744">
          <w:marLeft w:val="547"/>
          <w:marRight w:val="0"/>
          <w:marTop w:val="0"/>
          <w:marBottom w:val="50"/>
          <w:divBdr>
            <w:top w:val="none" w:sz="0" w:space="0" w:color="auto"/>
            <w:left w:val="none" w:sz="0" w:space="0" w:color="auto"/>
            <w:bottom w:val="none" w:sz="0" w:space="0" w:color="auto"/>
            <w:right w:val="none" w:sz="0" w:space="0" w:color="auto"/>
          </w:divBdr>
        </w:div>
        <w:div w:id="1392263878">
          <w:marLeft w:val="547"/>
          <w:marRight w:val="0"/>
          <w:marTop w:val="0"/>
          <w:marBottom w:val="50"/>
          <w:divBdr>
            <w:top w:val="none" w:sz="0" w:space="0" w:color="auto"/>
            <w:left w:val="none" w:sz="0" w:space="0" w:color="auto"/>
            <w:bottom w:val="none" w:sz="0" w:space="0" w:color="auto"/>
            <w:right w:val="none" w:sz="0" w:space="0" w:color="auto"/>
          </w:divBdr>
        </w:div>
        <w:div w:id="1399984147">
          <w:marLeft w:val="547"/>
          <w:marRight w:val="0"/>
          <w:marTop w:val="0"/>
          <w:marBottom w:val="50"/>
          <w:divBdr>
            <w:top w:val="none" w:sz="0" w:space="0" w:color="auto"/>
            <w:left w:val="none" w:sz="0" w:space="0" w:color="auto"/>
            <w:bottom w:val="none" w:sz="0" w:space="0" w:color="auto"/>
            <w:right w:val="none" w:sz="0" w:space="0" w:color="auto"/>
          </w:divBdr>
        </w:div>
        <w:div w:id="1710647636">
          <w:marLeft w:val="547"/>
          <w:marRight w:val="0"/>
          <w:marTop w:val="0"/>
          <w:marBottom w:val="50"/>
          <w:divBdr>
            <w:top w:val="none" w:sz="0" w:space="0" w:color="auto"/>
            <w:left w:val="none" w:sz="0" w:space="0" w:color="auto"/>
            <w:bottom w:val="none" w:sz="0" w:space="0" w:color="auto"/>
            <w:right w:val="none" w:sz="0" w:space="0" w:color="auto"/>
          </w:divBdr>
        </w:div>
        <w:div w:id="1859462756">
          <w:marLeft w:val="547"/>
          <w:marRight w:val="0"/>
          <w:marTop w:val="0"/>
          <w:marBottom w:val="50"/>
          <w:divBdr>
            <w:top w:val="none" w:sz="0" w:space="0" w:color="auto"/>
            <w:left w:val="none" w:sz="0" w:space="0" w:color="auto"/>
            <w:bottom w:val="none" w:sz="0" w:space="0" w:color="auto"/>
            <w:right w:val="none" w:sz="0" w:space="0" w:color="auto"/>
          </w:divBdr>
        </w:div>
      </w:divsChild>
    </w:div>
    <w:div w:id="14495925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358949">
      <w:bodyDiv w:val="1"/>
      <w:marLeft w:val="0"/>
      <w:marRight w:val="0"/>
      <w:marTop w:val="0"/>
      <w:marBottom w:val="0"/>
      <w:divBdr>
        <w:top w:val="none" w:sz="0" w:space="0" w:color="auto"/>
        <w:left w:val="none" w:sz="0" w:space="0" w:color="auto"/>
        <w:bottom w:val="none" w:sz="0" w:space="0" w:color="auto"/>
        <w:right w:val="none" w:sz="0" w:space="0" w:color="auto"/>
      </w:divBdr>
      <w:divsChild>
        <w:div w:id="286666887">
          <w:marLeft w:val="806"/>
          <w:marRight w:val="0"/>
          <w:marTop w:val="0"/>
          <w:marBottom w:val="120"/>
          <w:divBdr>
            <w:top w:val="none" w:sz="0" w:space="0" w:color="auto"/>
            <w:left w:val="none" w:sz="0" w:space="0" w:color="auto"/>
            <w:bottom w:val="none" w:sz="0" w:space="0" w:color="auto"/>
            <w:right w:val="none" w:sz="0" w:space="0" w:color="auto"/>
          </w:divBdr>
        </w:div>
        <w:div w:id="865213640">
          <w:marLeft w:val="446"/>
          <w:marRight w:val="0"/>
          <w:marTop w:val="0"/>
          <w:marBottom w:val="120"/>
          <w:divBdr>
            <w:top w:val="none" w:sz="0" w:space="0" w:color="auto"/>
            <w:left w:val="none" w:sz="0" w:space="0" w:color="auto"/>
            <w:bottom w:val="none" w:sz="0" w:space="0" w:color="auto"/>
            <w:right w:val="none" w:sz="0" w:space="0" w:color="auto"/>
          </w:divBdr>
        </w:div>
        <w:div w:id="1138641727">
          <w:marLeft w:val="806"/>
          <w:marRight w:val="0"/>
          <w:marTop w:val="0"/>
          <w:marBottom w:val="120"/>
          <w:divBdr>
            <w:top w:val="none" w:sz="0" w:space="0" w:color="auto"/>
            <w:left w:val="none" w:sz="0" w:space="0" w:color="auto"/>
            <w:bottom w:val="none" w:sz="0" w:space="0" w:color="auto"/>
            <w:right w:val="none" w:sz="0" w:space="0" w:color="auto"/>
          </w:divBdr>
        </w:div>
        <w:div w:id="1635713320">
          <w:marLeft w:val="446"/>
          <w:marRight w:val="0"/>
          <w:marTop w:val="0"/>
          <w:marBottom w:val="12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121530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481554">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1989389">
      <w:bodyDiv w:val="1"/>
      <w:marLeft w:val="0"/>
      <w:marRight w:val="0"/>
      <w:marTop w:val="0"/>
      <w:marBottom w:val="0"/>
      <w:divBdr>
        <w:top w:val="none" w:sz="0" w:space="0" w:color="auto"/>
        <w:left w:val="none" w:sz="0" w:space="0" w:color="auto"/>
        <w:bottom w:val="none" w:sz="0" w:space="0" w:color="auto"/>
        <w:right w:val="none" w:sz="0" w:space="0" w:color="auto"/>
      </w:divBdr>
    </w:div>
    <w:div w:id="1627618209">
      <w:bodyDiv w:val="1"/>
      <w:marLeft w:val="0"/>
      <w:marRight w:val="0"/>
      <w:marTop w:val="0"/>
      <w:marBottom w:val="0"/>
      <w:divBdr>
        <w:top w:val="none" w:sz="0" w:space="0" w:color="auto"/>
        <w:left w:val="none" w:sz="0" w:space="0" w:color="auto"/>
        <w:bottom w:val="none" w:sz="0" w:space="0" w:color="auto"/>
        <w:right w:val="none" w:sz="0" w:space="0" w:color="auto"/>
      </w:divBdr>
      <w:divsChild>
        <w:div w:id="1847406191">
          <w:marLeft w:val="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9870702">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4806573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25392348">
      <w:bodyDiv w:val="1"/>
      <w:marLeft w:val="0"/>
      <w:marRight w:val="0"/>
      <w:marTop w:val="0"/>
      <w:marBottom w:val="0"/>
      <w:divBdr>
        <w:top w:val="none" w:sz="0" w:space="0" w:color="auto"/>
        <w:left w:val="none" w:sz="0" w:space="0" w:color="auto"/>
        <w:bottom w:val="none" w:sz="0" w:space="0" w:color="auto"/>
        <w:right w:val="none" w:sz="0" w:space="0" w:color="auto"/>
      </w:divBdr>
    </w:div>
    <w:div w:id="1848518421">
      <w:bodyDiv w:val="1"/>
      <w:marLeft w:val="0"/>
      <w:marRight w:val="0"/>
      <w:marTop w:val="0"/>
      <w:marBottom w:val="0"/>
      <w:divBdr>
        <w:top w:val="none" w:sz="0" w:space="0" w:color="auto"/>
        <w:left w:val="none" w:sz="0" w:space="0" w:color="auto"/>
        <w:bottom w:val="none" w:sz="0" w:space="0" w:color="auto"/>
        <w:right w:val="none" w:sz="0" w:space="0" w:color="auto"/>
      </w:divBdr>
    </w:div>
    <w:div w:id="1850673919">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544358">
      <w:bodyDiv w:val="1"/>
      <w:marLeft w:val="0"/>
      <w:marRight w:val="0"/>
      <w:marTop w:val="0"/>
      <w:marBottom w:val="0"/>
      <w:divBdr>
        <w:top w:val="none" w:sz="0" w:space="0" w:color="auto"/>
        <w:left w:val="none" w:sz="0" w:space="0" w:color="auto"/>
        <w:bottom w:val="none" w:sz="0" w:space="0" w:color="auto"/>
        <w:right w:val="none" w:sz="0" w:space="0" w:color="auto"/>
      </w:divBdr>
    </w:div>
    <w:div w:id="1873614234">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8644993">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9798540">
      <w:bodyDiv w:val="1"/>
      <w:marLeft w:val="0"/>
      <w:marRight w:val="0"/>
      <w:marTop w:val="0"/>
      <w:marBottom w:val="0"/>
      <w:divBdr>
        <w:top w:val="none" w:sz="0" w:space="0" w:color="auto"/>
        <w:left w:val="none" w:sz="0" w:space="0" w:color="auto"/>
        <w:bottom w:val="none" w:sz="0" w:space="0" w:color="auto"/>
        <w:right w:val="none" w:sz="0" w:space="0" w:color="auto"/>
      </w:divBdr>
    </w:div>
    <w:div w:id="1911426346">
      <w:bodyDiv w:val="1"/>
      <w:marLeft w:val="0"/>
      <w:marRight w:val="0"/>
      <w:marTop w:val="0"/>
      <w:marBottom w:val="0"/>
      <w:divBdr>
        <w:top w:val="none" w:sz="0" w:space="0" w:color="auto"/>
        <w:left w:val="none" w:sz="0" w:space="0" w:color="auto"/>
        <w:bottom w:val="none" w:sz="0" w:space="0" w:color="auto"/>
        <w:right w:val="none" w:sz="0" w:space="0" w:color="auto"/>
      </w:divBdr>
    </w:div>
    <w:div w:id="1925800320">
      <w:bodyDiv w:val="1"/>
      <w:marLeft w:val="0"/>
      <w:marRight w:val="0"/>
      <w:marTop w:val="0"/>
      <w:marBottom w:val="0"/>
      <w:divBdr>
        <w:top w:val="none" w:sz="0" w:space="0" w:color="auto"/>
        <w:left w:val="none" w:sz="0" w:space="0" w:color="auto"/>
        <w:bottom w:val="none" w:sz="0" w:space="0" w:color="auto"/>
        <w:right w:val="none" w:sz="0" w:space="0" w:color="auto"/>
      </w:divBdr>
      <w:divsChild>
        <w:div w:id="423573030">
          <w:marLeft w:val="0"/>
          <w:marRight w:val="0"/>
          <w:marTop w:val="0"/>
          <w:marBottom w:val="0"/>
          <w:divBdr>
            <w:top w:val="none" w:sz="0" w:space="0" w:color="auto"/>
            <w:left w:val="none" w:sz="0" w:space="0" w:color="auto"/>
            <w:bottom w:val="none" w:sz="0" w:space="0" w:color="auto"/>
            <w:right w:val="none" w:sz="0" w:space="0" w:color="auto"/>
          </w:divBdr>
        </w:div>
        <w:div w:id="579220552">
          <w:marLeft w:val="0"/>
          <w:marRight w:val="0"/>
          <w:marTop w:val="0"/>
          <w:marBottom w:val="0"/>
          <w:divBdr>
            <w:top w:val="none" w:sz="0" w:space="0" w:color="auto"/>
            <w:left w:val="none" w:sz="0" w:space="0" w:color="auto"/>
            <w:bottom w:val="none" w:sz="0" w:space="0" w:color="auto"/>
            <w:right w:val="none" w:sz="0" w:space="0" w:color="auto"/>
          </w:divBdr>
        </w:div>
        <w:div w:id="1452358541">
          <w:marLeft w:val="0"/>
          <w:marRight w:val="0"/>
          <w:marTop w:val="0"/>
          <w:marBottom w:val="0"/>
          <w:divBdr>
            <w:top w:val="none" w:sz="0" w:space="0" w:color="auto"/>
            <w:left w:val="none" w:sz="0" w:space="0" w:color="auto"/>
            <w:bottom w:val="none" w:sz="0" w:space="0" w:color="auto"/>
            <w:right w:val="none" w:sz="0" w:space="0" w:color="auto"/>
          </w:divBdr>
        </w:div>
        <w:div w:id="2093307342">
          <w:marLeft w:val="0"/>
          <w:marRight w:val="0"/>
          <w:marTop w:val="0"/>
          <w:marBottom w:val="0"/>
          <w:divBdr>
            <w:top w:val="none" w:sz="0" w:space="0" w:color="auto"/>
            <w:left w:val="none" w:sz="0" w:space="0" w:color="auto"/>
            <w:bottom w:val="none" w:sz="0" w:space="0" w:color="auto"/>
            <w:right w:val="none" w:sz="0" w:space="0" w:color="auto"/>
          </w:divBdr>
        </w:div>
      </w:divsChild>
    </w:div>
    <w:div w:id="192892404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854942">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8626758">
      <w:bodyDiv w:val="1"/>
      <w:marLeft w:val="0"/>
      <w:marRight w:val="0"/>
      <w:marTop w:val="0"/>
      <w:marBottom w:val="0"/>
      <w:divBdr>
        <w:top w:val="none" w:sz="0" w:space="0" w:color="auto"/>
        <w:left w:val="none" w:sz="0" w:space="0" w:color="auto"/>
        <w:bottom w:val="none" w:sz="0" w:space="0" w:color="auto"/>
        <w:right w:val="none" w:sz="0" w:space="0" w:color="auto"/>
      </w:divBdr>
    </w:div>
    <w:div w:id="2012222594">
      <w:bodyDiv w:val="1"/>
      <w:marLeft w:val="0"/>
      <w:marRight w:val="0"/>
      <w:marTop w:val="0"/>
      <w:marBottom w:val="0"/>
      <w:divBdr>
        <w:top w:val="none" w:sz="0" w:space="0" w:color="auto"/>
        <w:left w:val="none" w:sz="0" w:space="0" w:color="auto"/>
        <w:bottom w:val="none" w:sz="0" w:space="0" w:color="auto"/>
        <w:right w:val="none" w:sz="0" w:space="0" w:color="auto"/>
      </w:divBdr>
    </w:div>
    <w:div w:id="2017615857">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7637099">
      <w:bodyDiv w:val="1"/>
      <w:marLeft w:val="0"/>
      <w:marRight w:val="0"/>
      <w:marTop w:val="0"/>
      <w:marBottom w:val="0"/>
      <w:divBdr>
        <w:top w:val="none" w:sz="0" w:space="0" w:color="auto"/>
        <w:left w:val="none" w:sz="0" w:space="0" w:color="auto"/>
        <w:bottom w:val="none" w:sz="0" w:space="0" w:color="auto"/>
        <w:right w:val="none" w:sz="0" w:space="0" w:color="auto"/>
      </w:divBdr>
    </w:div>
    <w:div w:id="2051609163">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4517225">
      <w:bodyDiv w:val="1"/>
      <w:marLeft w:val="0"/>
      <w:marRight w:val="0"/>
      <w:marTop w:val="0"/>
      <w:marBottom w:val="0"/>
      <w:divBdr>
        <w:top w:val="none" w:sz="0" w:space="0" w:color="auto"/>
        <w:left w:val="none" w:sz="0" w:space="0" w:color="auto"/>
        <w:bottom w:val="none" w:sz="0" w:space="0" w:color="auto"/>
        <w:right w:val="none" w:sz="0" w:space="0" w:color="auto"/>
      </w:divBdr>
    </w:div>
    <w:div w:id="206582893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5303770">
      <w:bodyDiv w:val="1"/>
      <w:marLeft w:val="0"/>
      <w:marRight w:val="0"/>
      <w:marTop w:val="0"/>
      <w:marBottom w:val="0"/>
      <w:divBdr>
        <w:top w:val="none" w:sz="0" w:space="0" w:color="auto"/>
        <w:left w:val="none" w:sz="0" w:space="0" w:color="auto"/>
        <w:bottom w:val="none" w:sz="0" w:space="0" w:color="auto"/>
        <w:right w:val="none" w:sz="0" w:space="0" w:color="auto"/>
      </w:divBdr>
      <w:divsChild>
        <w:div w:id="345131685">
          <w:marLeft w:val="1166"/>
          <w:marRight w:val="0"/>
          <w:marTop w:val="0"/>
          <w:marBottom w:val="120"/>
          <w:divBdr>
            <w:top w:val="none" w:sz="0" w:space="0" w:color="auto"/>
            <w:left w:val="none" w:sz="0" w:space="0" w:color="auto"/>
            <w:bottom w:val="none" w:sz="0" w:space="0" w:color="auto"/>
            <w:right w:val="none" w:sz="0" w:space="0" w:color="auto"/>
          </w:divBdr>
        </w:div>
        <w:div w:id="364526252">
          <w:marLeft w:val="1166"/>
          <w:marRight w:val="0"/>
          <w:marTop w:val="0"/>
          <w:marBottom w:val="120"/>
          <w:divBdr>
            <w:top w:val="none" w:sz="0" w:space="0" w:color="auto"/>
            <w:left w:val="none" w:sz="0" w:space="0" w:color="auto"/>
            <w:bottom w:val="none" w:sz="0" w:space="0" w:color="auto"/>
            <w:right w:val="none" w:sz="0" w:space="0" w:color="auto"/>
          </w:divBdr>
        </w:div>
        <w:div w:id="520096775">
          <w:marLeft w:val="1166"/>
          <w:marRight w:val="0"/>
          <w:marTop w:val="0"/>
          <w:marBottom w:val="120"/>
          <w:divBdr>
            <w:top w:val="none" w:sz="0" w:space="0" w:color="auto"/>
            <w:left w:val="none" w:sz="0" w:space="0" w:color="auto"/>
            <w:bottom w:val="none" w:sz="0" w:space="0" w:color="auto"/>
            <w:right w:val="none" w:sz="0" w:space="0" w:color="auto"/>
          </w:divBdr>
        </w:div>
        <w:div w:id="957176689">
          <w:marLeft w:val="547"/>
          <w:marRight w:val="0"/>
          <w:marTop w:val="0"/>
          <w:marBottom w:val="120"/>
          <w:divBdr>
            <w:top w:val="none" w:sz="0" w:space="0" w:color="auto"/>
            <w:left w:val="none" w:sz="0" w:space="0" w:color="auto"/>
            <w:bottom w:val="none" w:sz="0" w:space="0" w:color="auto"/>
            <w:right w:val="none" w:sz="0" w:space="0" w:color="auto"/>
          </w:divBdr>
        </w:div>
      </w:divsChild>
    </w:div>
    <w:div w:id="2133405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image" Target="media/image11.emf"/><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sv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5AIRPNAIUNRU-1830940522-21888</_dlc_DocId>
    <_dlc_DocIdUrl xmlns="71c5aaf6-e6ce-465b-b873-5148d2a4c105">
      <Url>https://nokia.sharepoint.com/sites/c5g/5gradio/_layouts/15/DocIdRedir.aspx?ID=5AIRPNAIUNRU-1830940522-21888</Url>
      <Description>5AIRPNAIUNRU-1830940522-21888</Description>
    </_dlc_DocIdUrl>
    <HideFromDelve xmlns="71c5aaf6-e6ce-465b-b873-5148d2a4c105">false</HideFromDelve>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9DFC513E-4995-469A-883D-A6CF08796A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23</TotalTime>
  <Pages>1</Pages>
  <Words>22329</Words>
  <Characters>127279</Characters>
  <Application>Microsoft Office Word</Application>
  <DocSecurity>4</DocSecurity>
  <Lines>1060</Lines>
  <Paragraphs>298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149310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Youngsoo Yuk (Nokia)</cp:lastModifiedBy>
  <cp:revision>12</cp:revision>
  <cp:lastPrinted>2016-06-23T18:35:00Z</cp:lastPrinted>
  <dcterms:created xsi:type="dcterms:W3CDTF">2023-08-12T00:47:00Z</dcterms:created>
  <dcterms:modified xsi:type="dcterms:W3CDTF">2023-08-12T03:28:00Z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e8e064c6-6374-49a6-99e0-b7d5e98747dc</vt:lpwstr>
  </property>
</Properties>
</file>